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4" w:rsidRPr="00BA0B41" w:rsidRDefault="00706614" w:rsidP="00BA0B41">
      <w:pPr>
        <w:spacing w:after="0" w:line="240" w:lineRule="auto"/>
        <w:jc w:val="both"/>
        <w:rPr>
          <w:rFonts w:ascii="Times New Roman" w:hAnsi="Times New Roman"/>
          <w:b/>
          <w:sz w:val="16"/>
          <w:szCs w:val="16"/>
        </w:rPr>
      </w:pPr>
      <w:r w:rsidRPr="00BA0B41">
        <w:rPr>
          <w:rFonts w:ascii="Times New Roman" w:hAnsi="Times New Roman"/>
          <w:b/>
          <w:sz w:val="16"/>
          <w:szCs w:val="16"/>
        </w:rPr>
        <w:t xml:space="preserve">ПРИЛОЖЕНИЕ </w:t>
      </w:r>
      <w:r w:rsidR="00D40331" w:rsidRPr="00BA0B41">
        <w:rPr>
          <w:rFonts w:ascii="Times New Roman" w:hAnsi="Times New Roman"/>
          <w:b/>
          <w:sz w:val="16"/>
          <w:szCs w:val="16"/>
        </w:rPr>
        <w:t>4</w:t>
      </w:r>
      <w:r w:rsidRPr="00BA0B41">
        <w:rPr>
          <w:rFonts w:ascii="Times New Roman" w:hAnsi="Times New Roman"/>
          <w:b/>
          <w:sz w:val="16"/>
          <w:szCs w:val="16"/>
        </w:rPr>
        <w:t>-1</w:t>
      </w:r>
    </w:p>
    <w:p w:rsidR="00706614" w:rsidRPr="00BA0B41" w:rsidRDefault="00706614" w:rsidP="00BA0B41">
      <w:pPr>
        <w:spacing w:after="0" w:line="240" w:lineRule="auto"/>
        <w:jc w:val="both"/>
        <w:rPr>
          <w:rFonts w:ascii="Times New Roman" w:hAnsi="Times New Roman"/>
          <w:sz w:val="16"/>
          <w:szCs w:val="16"/>
        </w:rPr>
      </w:pPr>
      <w:r w:rsidRPr="00BA0B41">
        <w:rPr>
          <w:rFonts w:ascii="Times New Roman" w:hAnsi="Times New Roman"/>
          <w:sz w:val="16"/>
          <w:szCs w:val="16"/>
        </w:rPr>
        <w:t>к Регламенту осуществления брокерской деятельности</w:t>
      </w:r>
    </w:p>
    <w:p w:rsidR="00706614" w:rsidRPr="00BA0B41" w:rsidRDefault="00706614" w:rsidP="00BA0B41">
      <w:pPr>
        <w:spacing w:after="0" w:line="240" w:lineRule="auto"/>
        <w:jc w:val="both"/>
        <w:rPr>
          <w:rFonts w:ascii="Times New Roman" w:hAnsi="Times New Roman"/>
          <w:sz w:val="16"/>
          <w:szCs w:val="16"/>
        </w:rPr>
      </w:pPr>
      <w:bookmarkStart w:id="0" w:name="_GoBack"/>
      <w:bookmarkEnd w:id="0"/>
      <w:r w:rsidRPr="00BA0B41">
        <w:rPr>
          <w:rFonts w:ascii="Times New Roman" w:hAnsi="Times New Roman"/>
          <w:sz w:val="16"/>
          <w:szCs w:val="16"/>
        </w:rPr>
        <w:t>Обществом с ограниченной ответственностью «</w:t>
      </w:r>
      <w:r w:rsidR="00816B76">
        <w:rPr>
          <w:rFonts w:ascii="Times New Roman" w:hAnsi="Times New Roman"/>
          <w:sz w:val="16"/>
          <w:szCs w:val="16"/>
        </w:rPr>
        <w:t>М</w:t>
      </w:r>
      <w:r w:rsidR="00816B76" w:rsidRPr="00BA0B41">
        <w:rPr>
          <w:rFonts w:ascii="Times New Roman" w:hAnsi="Times New Roman"/>
          <w:sz w:val="16"/>
          <w:szCs w:val="16"/>
        </w:rPr>
        <w:t>осковские партнеры</w:t>
      </w:r>
      <w:r w:rsidRPr="00BA0B41">
        <w:rPr>
          <w:rFonts w:ascii="Times New Roman" w:hAnsi="Times New Roman"/>
          <w:sz w:val="16"/>
          <w:szCs w:val="16"/>
        </w:rPr>
        <w:t>»</w:t>
      </w:r>
    </w:p>
    <w:p w:rsidR="007F7D1F" w:rsidRPr="00BA0B41" w:rsidRDefault="007F7D1F" w:rsidP="00BA0B41">
      <w:pPr>
        <w:spacing w:after="0" w:line="240" w:lineRule="auto"/>
        <w:jc w:val="right"/>
        <w:rPr>
          <w:rFonts w:ascii="Times New Roman" w:hAnsi="Times New Roman"/>
          <w:b/>
          <w:sz w:val="20"/>
          <w:szCs w:val="20"/>
        </w:rPr>
      </w:pPr>
    </w:p>
    <w:tbl>
      <w:tblPr>
        <w:tblpPr w:leftFromText="180" w:rightFromText="180" w:vertAnchor="page" w:horzAnchor="margin" w:tblpY="1406"/>
        <w:tblW w:w="5000" w:type="pct"/>
        <w:tblLook w:val="04A0" w:firstRow="1" w:lastRow="0" w:firstColumn="1" w:lastColumn="0" w:noHBand="0" w:noVBand="1"/>
      </w:tblPr>
      <w:tblGrid>
        <w:gridCol w:w="3606"/>
        <w:gridCol w:w="2408"/>
        <w:gridCol w:w="3903"/>
      </w:tblGrid>
      <w:tr w:rsidR="000B6B66" w:rsidRPr="00BA0B41" w:rsidTr="003A22B7">
        <w:trPr>
          <w:trHeight w:val="843"/>
        </w:trPr>
        <w:tc>
          <w:tcPr>
            <w:tcW w:w="1818" w:type="pct"/>
            <w:vMerge w:val="restart"/>
            <w:tcBorders>
              <w:right w:val="single" w:sz="4" w:space="0" w:color="auto"/>
            </w:tcBorders>
          </w:tcPr>
          <w:p w:rsidR="000B6B66" w:rsidRPr="00BA0B41" w:rsidRDefault="000B6B66" w:rsidP="00BA0B41">
            <w:pPr>
              <w:spacing w:after="0" w:line="240" w:lineRule="auto"/>
              <w:jc w:val="center"/>
              <w:rPr>
                <w:rFonts w:ascii="Times New Roman" w:hAnsi="Times New Roman"/>
                <w:b/>
                <w:sz w:val="20"/>
                <w:szCs w:val="20"/>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BA0B41">
            <w:pPr>
              <w:spacing w:after="0" w:line="240" w:lineRule="auto"/>
              <w:jc w:val="center"/>
              <w:rPr>
                <w:rFonts w:ascii="Times New Roman" w:hAnsi="Times New Roman"/>
                <w:b/>
                <w:sz w:val="20"/>
                <w:szCs w:val="20"/>
              </w:rPr>
            </w:pPr>
            <w:r w:rsidRPr="00BA0B41">
              <w:rPr>
                <w:rFonts w:ascii="Times New Roman" w:hAnsi="Times New Roman"/>
                <w:b/>
                <w:sz w:val="20"/>
                <w:szCs w:val="20"/>
              </w:rPr>
              <w:t>Заявление о присоединении к Договору</w:t>
            </w:r>
          </w:p>
        </w:tc>
      </w:tr>
      <w:tr w:rsidR="000B6B66" w:rsidRPr="00BA0B41" w:rsidTr="003A22B7">
        <w:trPr>
          <w:trHeight w:val="423"/>
        </w:trPr>
        <w:tc>
          <w:tcPr>
            <w:tcW w:w="1818" w:type="pct"/>
            <w:vMerge/>
            <w:tcBorders>
              <w:right w:val="single" w:sz="4" w:space="0" w:color="auto"/>
            </w:tcBorders>
          </w:tcPr>
          <w:p w:rsidR="000B6B66" w:rsidRPr="00BA0B41" w:rsidRDefault="000B6B66" w:rsidP="00BA0B41">
            <w:pPr>
              <w:spacing w:after="0" w:line="240" w:lineRule="auto"/>
              <w:jc w:val="center"/>
              <w:rPr>
                <w:rFonts w:ascii="Times New Roman" w:hAnsi="Times New Roman"/>
                <w:noProof/>
                <w:sz w:val="20"/>
                <w:szCs w:val="20"/>
                <w:lang w:eastAsia="ru-RU"/>
              </w:rPr>
            </w:pPr>
          </w:p>
        </w:tc>
        <w:tc>
          <w:tcPr>
            <w:tcW w:w="31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730F5B">
            <w:pPr>
              <w:spacing w:after="0" w:line="240" w:lineRule="auto"/>
              <w:rPr>
                <w:rFonts w:ascii="Times New Roman" w:hAnsi="Times New Roman"/>
                <w:b/>
                <w:sz w:val="20"/>
                <w:szCs w:val="20"/>
              </w:rPr>
            </w:pPr>
            <w:r w:rsidRPr="00BA0B41">
              <w:rPr>
                <w:rFonts w:ascii="Times New Roman" w:hAnsi="Times New Roman"/>
                <w:sz w:val="20"/>
                <w:szCs w:val="20"/>
              </w:rPr>
              <w:t>в Общество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Pr="00BA0B41">
              <w:rPr>
                <w:rFonts w:ascii="Times New Roman" w:hAnsi="Times New Roman"/>
                <w:sz w:val="20"/>
                <w:szCs w:val="20"/>
              </w:rPr>
              <w:t>»</w:t>
            </w:r>
          </w:p>
        </w:tc>
      </w:tr>
      <w:tr w:rsidR="000B6B66" w:rsidRPr="00BA0B41" w:rsidTr="00E11D62">
        <w:trPr>
          <w:trHeight w:val="418"/>
        </w:trPr>
        <w:tc>
          <w:tcPr>
            <w:tcW w:w="1818" w:type="pct"/>
            <w:vMerge/>
            <w:tcBorders>
              <w:right w:val="single" w:sz="4" w:space="0" w:color="auto"/>
            </w:tcBorders>
          </w:tcPr>
          <w:p w:rsidR="000B6B66" w:rsidRPr="00BA0B41" w:rsidRDefault="000B6B66" w:rsidP="00BA0B41">
            <w:pPr>
              <w:spacing w:after="0" w:line="240" w:lineRule="auto"/>
              <w:rPr>
                <w:rFonts w:ascii="Times New Roman" w:hAnsi="Times New Roman"/>
                <w:b/>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14210D">
            <w:pPr>
              <w:spacing w:after="0" w:line="240" w:lineRule="auto"/>
              <w:rPr>
                <w:rFonts w:ascii="Times New Roman" w:hAnsi="Times New Roman"/>
                <w:b/>
                <w:sz w:val="20"/>
                <w:szCs w:val="20"/>
              </w:rPr>
            </w:pPr>
            <w:r w:rsidRPr="00BA0B41">
              <w:rPr>
                <w:rFonts w:ascii="Times New Roman" w:hAnsi="Times New Roman"/>
                <w:b/>
                <w:sz w:val="20"/>
                <w:szCs w:val="20"/>
              </w:rPr>
              <w:t>ФИО / Полное наименование Клиента</w:t>
            </w:r>
            <w:r w:rsidR="00501132" w:rsidRPr="00BA0B41">
              <w:rPr>
                <w:rFonts w:ascii="Times New Roman" w:hAnsi="Times New Roman"/>
                <w:b/>
                <w:sz w:val="20"/>
                <w:szCs w:val="20"/>
              </w:rPr>
              <w:t xml:space="preserve"> </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0B6B66" w:rsidRPr="00BA0B41" w:rsidRDefault="000B6B66" w:rsidP="00BA0B41">
            <w:pPr>
              <w:spacing w:after="0" w:line="240" w:lineRule="auto"/>
              <w:rPr>
                <w:rFonts w:ascii="Times New Roman" w:hAnsi="Times New Roman"/>
                <w:sz w:val="20"/>
                <w:szCs w:val="20"/>
              </w:rPr>
            </w:pPr>
          </w:p>
        </w:tc>
      </w:tr>
      <w:tr w:rsidR="00B3610C" w:rsidRPr="00BA0B41" w:rsidTr="00B3610C">
        <w:trPr>
          <w:trHeight w:val="418"/>
        </w:trPr>
        <w:tc>
          <w:tcPr>
            <w:tcW w:w="1818" w:type="pct"/>
            <w:vMerge/>
            <w:tcBorders>
              <w:right w:val="single" w:sz="4" w:space="0" w:color="auto"/>
            </w:tcBorders>
          </w:tcPr>
          <w:p w:rsidR="00B3610C" w:rsidRPr="00BA0B41" w:rsidRDefault="00B3610C" w:rsidP="00BA0B41">
            <w:pPr>
              <w:spacing w:after="0" w:line="240" w:lineRule="auto"/>
              <w:jc w:val="right"/>
              <w:rPr>
                <w:rFonts w:ascii="Times New Roman" w:eastAsia="MS Gothic" w:hAnsi="Times New Roman"/>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B3610C" w:rsidRPr="00B3610C" w:rsidRDefault="00B3610C" w:rsidP="00B3610C">
            <w:pPr>
              <w:spacing w:after="0" w:line="240" w:lineRule="auto"/>
              <w:rPr>
                <w:rFonts w:ascii="Times New Roman" w:hAnsi="Times New Roman"/>
                <w:b/>
                <w:sz w:val="20"/>
                <w:szCs w:val="20"/>
              </w:rPr>
            </w:pPr>
            <w:r>
              <w:rPr>
                <w:rFonts w:ascii="Times New Roman" w:hAnsi="Times New Roman"/>
                <w:b/>
                <w:sz w:val="20"/>
                <w:szCs w:val="20"/>
              </w:rPr>
              <w:t>Номер договора</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B3610C" w:rsidRPr="00BA0B41" w:rsidRDefault="00B3610C" w:rsidP="00B3610C">
            <w:pPr>
              <w:spacing w:after="0" w:line="240" w:lineRule="auto"/>
              <w:rPr>
                <w:rFonts w:ascii="Times New Roman" w:hAnsi="Times New Roman"/>
                <w:sz w:val="20"/>
                <w:szCs w:val="20"/>
              </w:rPr>
            </w:pPr>
          </w:p>
        </w:tc>
      </w:tr>
      <w:tr w:rsidR="002E431B" w:rsidRPr="00BA0B41" w:rsidTr="00E11D62">
        <w:trPr>
          <w:trHeight w:val="505"/>
        </w:trPr>
        <w:tc>
          <w:tcPr>
            <w:tcW w:w="1818" w:type="pct"/>
            <w:vMerge/>
            <w:tcBorders>
              <w:right w:val="single" w:sz="4" w:space="0" w:color="auto"/>
            </w:tcBorders>
          </w:tcPr>
          <w:p w:rsidR="002E431B" w:rsidRPr="00BA0B41" w:rsidRDefault="002E431B" w:rsidP="00BA0B41">
            <w:pPr>
              <w:spacing w:after="0" w:line="240" w:lineRule="auto"/>
              <w:rPr>
                <w:rFonts w:ascii="Times New Roman" w:hAnsi="Times New Roman"/>
                <w:b/>
                <w:sz w:val="20"/>
                <w:szCs w:val="20"/>
              </w:rPr>
            </w:pPr>
          </w:p>
        </w:tc>
        <w:tc>
          <w:tcPr>
            <w:tcW w:w="1214" w:type="pct"/>
            <w:tcBorders>
              <w:top w:val="single" w:sz="4" w:space="0" w:color="auto"/>
              <w:left w:val="single" w:sz="4" w:space="0" w:color="auto"/>
              <w:bottom w:val="single" w:sz="4" w:space="0" w:color="auto"/>
              <w:right w:val="single" w:sz="4" w:space="0" w:color="auto"/>
            </w:tcBorders>
            <w:shd w:val="clear" w:color="auto" w:fill="auto"/>
            <w:vAlign w:val="center"/>
          </w:tcPr>
          <w:p w:rsidR="002E431B" w:rsidRPr="00BA0B41" w:rsidRDefault="002E431B" w:rsidP="00BA0B41">
            <w:pPr>
              <w:spacing w:after="0" w:line="240" w:lineRule="auto"/>
              <w:rPr>
                <w:rFonts w:ascii="Times New Roman" w:hAnsi="Times New Roman"/>
                <w:b/>
                <w:sz w:val="20"/>
                <w:szCs w:val="20"/>
              </w:rPr>
            </w:pPr>
            <w:r w:rsidRPr="00BA0B41">
              <w:rPr>
                <w:rFonts w:ascii="Times New Roman" w:hAnsi="Times New Roman"/>
                <w:b/>
                <w:sz w:val="20"/>
                <w:szCs w:val="20"/>
              </w:rPr>
              <w:t>Дата Заявления</w:t>
            </w:r>
          </w:p>
        </w:tc>
        <w:tc>
          <w:tcPr>
            <w:tcW w:w="1968" w:type="pct"/>
            <w:tcBorders>
              <w:top w:val="single" w:sz="4" w:space="0" w:color="auto"/>
              <w:left w:val="single" w:sz="4" w:space="0" w:color="auto"/>
              <w:bottom w:val="single" w:sz="4" w:space="0" w:color="auto"/>
              <w:right w:val="single" w:sz="4" w:space="0" w:color="auto"/>
            </w:tcBorders>
            <w:shd w:val="clear" w:color="auto" w:fill="auto"/>
            <w:vAlign w:val="center"/>
          </w:tcPr>
          <w:p w:rsidR="002E431B" w:rsidRPr="00BA0B41" w:rsidRDefault="002E431B" w:rsidP="00BA0B41">
            <w:pPr>
              <w:spacing w:after="0" w:line="240" w:lineRule="auto"/>
              <w:rPr>
                <w:rFonts w:ascii="Times New Roman" w:hAnsi="Times New Roman"/>
                <w:sz w:val="20"/>
                <w:szCs w:val="20"/>
              </w:rPr>
            </w:pPr>
          </w:p>
        </w:tc>
      </w:tr>
    </w:tbl>
    <w:p w:rsidR="00FB10A7" w:rsidRPr="00BA0B41" w:rsidRDefault="00FB10A7" w:rsidP="00BA0B41">
      <w:pPr>
        <w:pStyle w:val="a4"/>
        <w:tabs>
          <w:tab w:val="left" w:pos="1134"/>
        </w:tabs>
        <w:spacing w:after="0" w:line="240" w:lineRule="auto"/>
        <w:ind w:left="0"/>
        <w:rPr>
          <w:rFonts w:ascii="Times New Roman" w:hAnsi="Times New Roman"/>
          <w:sz w:val="20"/>
          <w:szCs w:val="20"/>
          <w:u w:val="single"/>
        </w:rPr>
      </w:pPr>
    </w:p>
    <w:p w:rsidR="006035B2" w:rsidRPr="00BA0B41" w:rsidRDefault="004C3A99" w:rsidP="000B3534">
      <w:pPr>
        <w:pStyle w:val="a4"/>
        <w:numPr>
          <w:ilvl w:val="0"/>
          <w:numId w:val="10"/>
        </w:numPr>
        <w:spacing w:after="0" w:line="240" w:lineRule="auto"/>
        <w:ind w:left="0" w:firstLine="0"/>
        <w:contextualSpacing w:val="0"/>
        <w:jc w:val="both"/>
        <w:rPr>
          <w:rFonts w:ascii="Times New Roman" w:hAnsi="Times New Roman"/>
          <w:sz w:val="20"/>
          <w:szCs w:val="20"/>
        </w:rPr>
      </w:pPr>
      <w:r w:rsidRPr="000B3534">
        <w:rPr>
          <w:rFonts w:ascii="Times New Roman" w:hAnsi="Times New Roman"/>
          <w:sz w:val="20"/>
          <w:szCs w:val="20"/>
        </w:rPr>
        <w:t xml:space="preserve">Настоящее Заявление о присоединении к </w:t>
      </w:r>
      <w:r w:rsidR="00F02267" w:rsidRPr="00F02267">
        <w:rPr>
          <w:rFonts w:ascii="Times New Roman" w:hAnsi="Times New Roman"/>
          <w:sz w:val="20"/>
          <w:szCs w:val="20"/>
        </w:rPr>
        <w:t>Договор</w:t>
      </w:r>
      <w:r w:rsidR="00F02267">
        <w:rPr>
          <w:rFonts w:ascii="Times New Roman" w:hAnsi="Times New Roman"/>
          <w:sz w:val="20"/>
          <w:szCs w:val="20"/>
        </w:rPr>
        <w:t>у</w:t>
      </w:r>
      <w:r w:rsidR="00F02267" w:rsidRPr="00F02267">
        <w:rPr>
          <w:rFonts w:ascii="Times New Roman" w:hAnsi="Times New Roman"/>
          <w:sz w:val="20"/>
          <w:szCs w:val="20"/>
        </w:rPr>
        <w:t xml:space="preserve"> о брокерском обслуживании</w:t>
      </w:r>
      <w:r w:rsidR="00F02267" w:rsidRPr="000B3534">
        <w:rPr>
          <w:rFonts w:ascii="Times New Roman" w:hAnsi="Times New Roman"/>
          <w:sz w:val="20"/>
          <w:szCs w:val="20"/>
        </w:rPr>
        <w:t xml:space="preserve"> </w:t>
      </w:r>
      <w:r w:rsidRPr="000B3534">
        <w:rPr>
          <w:rFonts w:ascii="Times New Roman" w:hAnsi="Times New Roman"/>
          <w:sz w:val="20"/>
          <w:szCs w:val="20"/>
        </w:rPr>
        <w:t xml:space="preserve">является </w:t>
      </w:r>
      <w:r w:rsidR="006035B2" w:rsidRPr="000B3534">
        <w:rPr>
          <w:rFonts w:ascii="Times New Roman" w:hAnsi="Times New Roman"/>
          <w:sz w:val="20"/>
          <w:szCs w:val="20"/>
        </w:rPr>
        <w:t xml:space="preserve">предложением </w:t>
      </w:r>
      <w:r w:rsidRPr="000B3534">
        <w:rPr>
          <w:rFonts w:ascii="Times New Roman" w:hAnsi="Times New Roman"/>
          <w:sz w:val="20"/>
          <w:szCs w:val="20"/>
        </w:rPr>
        <w:t xml:space="preserve">лица, </w:t>
      </w:r>
      <w:r w:rsidR="00DB23EC" w:rsidRPr="000B3534">
        <w:rPr>
          <w:rFonts w:ascii="Times New Roman" w:hAnsi="Times New Roman"/>
          <w:sz w:val="20"/>
          <w:szCs w:val="20"/>
        </w:rPr>
        <w:t>наименование или имя которого указано</w:t>
      </w:r>
      <w:r w:rsidRPr="000B3534">
        <w:rPr>
          <w:rFonts w:ascii="Times New Roman" w:hAnsi="Times New Roman"/>
          <w:sz w:val="20"/>
          <w:szCs w:val="20"/>
        </w:rPr>
        <w:t xml:space="preserve"> выше, </w:t>
      </w:r>
      <w:r w:rsidR="0002435E" w:rsidRPr="000B3534">
        <w:rPr>
          <w:rFonts w:ascii="Times New Roman" w:hAnsi="Times New Roman"/>
          <w:sz w:val="20"/>
          <w:szCs w:val="20"/>
        </w:rPr>
        <w:t>адресованным</w:t>
      </w:r>
      <w:r w:rsidR="00DB23EC" w:rsidRPr="000B3534">
        <w:rPr>
          <w:rFonts w:ascii="Times New Roman" w:hAnsi="Times New Roman"/>
          <w:sz w:val="20"/>
          <w:szCs w:val="20"/>
        </w:rPr>
        <w:t xml:space="preserve"> </w:t>
      </w:r>
      <w:r w:rsidR="006035B2" w:rsidRPr="000B3534">
        <w:rPr>
          <w:rFonts w:ascii="Times New Roman" w:hAnsi="Times New Roman"/>
          <w:sz w:val="20"/>
          <w:szCs w:val="20"/>
        </w:rPr>
        <w:t>Обществу</w:t>
      </w:r>
      <w:r w:rsidRPr="000B3534">
        <w:rPr>
          <w:rFonts w:ascii="Times New Roman" w:hAnsi="Times New Roman"/>
          <w:sz w:val="20"/>
          <w:szCs w:val="20"/>
        </w:rPr>
        <w:t xml:space="preserve"> с ограниченной ответственностью «</w:t>
      </w:r>
      <w:r w:rsidR="00730F5B" w:rsidRPr="000B3534">
        <w:rPr>
          <w:rFonts w:ascii="Times New Roman" w:hAnsi="Times New Roman"/>
          <w:sz w:val="20"/>
          <w:szCs w:val="20"/>
        </w:rPr>
        <w:t>Московские партнеры</w:t>
      </w:r>
      <w:r w:rsidRPr="000B3534">
        <w:rPr>
          <w:rFonts w:ascii="Times New Roman" w:hAnsi="Times New Roman"/>
          <w:sz w:val="20"/>
          <w:szCs w:val="20"/>
        </w:rPr>
        <w:t xml:space="preserve">» (ОГРН </w:t>
      </w:r>
      <w:r w:rsidR="00D43873" w:rsidRPr="000B3534">
        <w:rPr>
          <w:rFonts w:ascii="Times New Roman" w:hAnsi="Times New Roman"/>
          <w:sz w:val="20"/>
          <w:szCs w:val="20"/>
        </w:rPr>
        <w:t>1087746796060</w:t>
      </w:r>
      <w:r w:rsidR="00DB23EC" w:rsidRPr="000B3534">
        <w:rPr>
          <w:rFonts w:ascii="Times New Roman" w:hAnsi="Times New Roman"/>
          <w:sz w:val="20"/>
          <w:szCs w:val="20"/>
        </w:rPr>
        <w:t xml:space="preserve">, </w:t>
      </w:r>
      <w:r w:rsidR="00D43873" w:rsidRPr="000B3534">
        <w:rPr>
          <w:rFonts w:ascii="Times New Roman" w:hAnsi="Times New Roman"/>
          <w:sz w:val="20"/>
          <w:szCs w:val="20"/>
        </w:rPr>
        <w:t>123056, г. Москва, Малый Тишинский переулок, дом 23, стр.1, помещение I, комн. 1-18</w:t>
      </w:r>
      <w:r w:rsidRPr="000B3534">
        <w:rPr>
          <w:rFonts w:ascii="Times New Roman" w:hAnsi="Times New Roman"/>
          <w:sz w:val="20"/>
          <w:szCs w:val="20"/>
        </w:rPr>
        <w:t>)</w:t>
      </w:r>
      <w:r w:rsidR="0002435E" w:rsidRPr="000B3534">
        <w:rPr>
          <w:rFonts w:ascii="Times New Roman" w:hAnsi="Times New Roman"/>
          <w:sz w:val="20"/>
          <w:szCs w:val="20"/>
        </w:rPr>
        <w:t xml:space="preserve">, о заключении </w:t>
      </w:r>
      <w:r w:rsidR="00F02267" w:rsidRPr="00F02267">
        <w:rPr>
          <w:rFonts w:ascii="Times New Roman" w:hAnsi="Times New Roman"/>
          <w:sz w:val="20"/>
          <w:szCs w:val="20"/>
        </w:rPr>
        <w:t>Договор</w:t>
      </w:r>
      <w:r w:rsidR="00F02267">
        <w:rPr>
          <w:rFonts w:ascii="Times New Roman" w:hAnsi="Times New Roman"/>
          <w:sz w:val="20"/>
          <w:szCs w:val="20"/>
        </w:rPr>
        <w:t>а</w:t>
      </w:r>
      <w:r w:rsidR="00F02267" w:rsidRPr="00F02267">
        <w:rPr>
          <w:rFonts w:ascii="Times New Roman" w:hAnsi="Times New Roman"/>
          <w:sz w:val="20"/>
          <w:szCs w:val="20"/>
        </w:rPr>
        <w:t xml:space="preserve"> о брокерском обслуживании</w:t>
      </w:r>
      <w:r w:rsidR="00F02267">
        <w:rPr>
          <w:rFonts w:ascii="Times New Roman" w:hAnsi="Times New Roman"/>
          <w:sz w:val="20"/>
          <w:szCs w:val="20"/>
        </w:rPr>
        <w:t xml:space="preserve"> </w:t>
      </w:r>
      <w:r w:rsidRPr="000B3534">
        <w:rPr>
          <w:rFonts w:ascii="Times New Roman" w:hAnsi="Times New Roman"/>
          <w:sz w:val="20"/>
          <w:szCs w:val="20"/>
        </w:rPr>
        <w:t>на у</w:t>
      </w:r>
      <w:r w:rsidR="008B3B1B" w:rsidRPr="000B3534">
        <w:rPr>
          <w:rFonts w:ascii="Times New Roman" w:hAnsi="Times New Roman"/>
          <w:sz w:val="20"/>
          <w:szCs w:val="20"/>
        </w:rPr>
        <w:t>словиях</w:t>
      </w:r>
      <w:r w:rsidR="00DB23EC" w:rsidRPr="000B3534">
        <w:rPr>
          <w:rFonts w:ascii="Times New Roman" w:hAnsi="Times New Roman"/>
          <w:sz w:val="20"/>
          <w:szCs w:val="20"/>
        </w:rPr>
        <w:t>,</w:t>
      </w:r>
      <w:r w:rsidR="008B3B1B" w:rsidRPr="000B3534">
        <w:rPr>
          <w:rFonts w:ascii="Times New Roman" w:hAnsi="Times New Roman"/>
          <w:sz w:val="20"/>
          <w:szCs w:val="20"/>
        </w:rPr>
        <w:t xml:space="preserve"> определяемых </w:t>
      </w:r>
      <w:r w:rsidR="00C719EC">
        <w:rPr>
          <w:rFonts w:ascii="Times New Roman" w:hAnsi="Times New Roman"/>
          <w:sz w:val="20"/>
          <w:szCs w:val="20"/>
        </w:rPr>
        <w:t xml:space="preserve">настоящим </w:t>
      </w:r>
      <w:r w:rsidR="00F02267">
        <w:rPr>
          <w:rFonts w:ascii="Times New Roman" w:hAnsi="Times New Roman"/>
          <w:sz w:val="20"/>
          <w:szCs w:val="20"/>
        </w:rPr>
        <w:t>З</w:t>
      </w:r>
      <w:r w:rsidR="008B3B1B" w:rsidRPr="000B3534">
        <w:rPr>
          <w:rFonts w:ascii="Times New Roman" w:hAnsi="Times New Roman"/>
          <w:sz w:val="20"/>
          <w:szCs w:val="20"/>
        </w:rPr>
        <w:t xml:space="preserve">аявлением и </w:t>
      </w:r>
      <w:r w:rsidR="000B3534" w:rsidRPr="000B3534">
        <w:rPr>
          <w:rFonts w:ascii="Times New Roman" w:eastAsia="MS Gothic" w:hAnsi="Times New Roman"/>
          <w:sz w:val="20"/>
          <w:szCs w:val="20"/>
        </w:rPr>
        <w:t>Регламентом осуществления брокерской деятельности в Обществе с ограниченной ответственностью «</w:t>
      </w:r>
      <w:r w:rsidR="000B3534" w:rsidRPr="000B3534">
        <w:rPr>
          <w:rFonts w:ascii="Times New Roman" w:hAnsi="Times New Roman"/>
          <w:sz w:val="20"/>
          <w:szCs w:val="20"/>
        </w:rPr>
        <w:t>Московские партнеры</w:t>
      </w:r>
      <w:r w:rsidR="000B3534" w:rsidRPr="000B3534">
        <w:rPr>
          <w:rFonts w:ascii="Times New Roman" w:eastAsia="MS Gothic" w:hAnsi="Times New Roman"/>
          <w:sz w:val="20"/>
          <w:szCs w:val="20"/>
        </w:rPr>
        <w:t>»</w:t>
      </w:r>
      <w:r w:rsidR="00F02267">
        <w:rPr>
          <w:rFonts w:ascii="Times New Roman" w:eastAsia="MS Gothic" w:hAnsi="Times New Roman"/>
          <w:sz w:val="20"/>
          <w:szCs w:val="20"/>
        </w:rPr>
        <w:t xml:space="preserve"> (далее – Регламент)</w:t>
      </w:r>
      <w:r w:rsidR="008B3B1B" w:rsidRPr="000B3534">
        <w:rPr>
          <w:rFonts w:ascii="Times New Roman" w:hAnsi="Times New Roman"/>
          <w:sz w:val="20"/>
          <w:szCs w:val="20"/>
        </w:rPr>
        <w:t>.</w:t>
      </w:r>
      <w:r w:rsidR="000B3534" w:rsidRPr="000B3534">
        <w:rPr>
          <w:rFonts w:ascii="Times New Roman" w:hAnsi="Times New Roman"/>
          <w:sz w:val="20"/>
          <w:szCs w:val="20"/>
        </w:rPr>
        <w:t xml:space="preserve"> </w:t>
      </w:r>
      <w:r w:rsidR="008B3B1B" w:rsidRPr="000B3534">
        <w:rPr>
          <w:rFonts w:ascii="Times New Roman" w:hAnsi="Times New Roman"/>
          <w:sz w:val="20"/>
          <w:szCs w:val="20"/>
        </w:rPr>
        <w:t xml:space="preserve">Акцепт </w:t>
      </w:r>
      <w:r w:rsidR="00C719EC">
        <w:rPr>
          <w:rFonts w:ascii="Times New Roman" w:hAnsi="Times New Roman"/>
          <w:sz w:val="20"/>
          <w:szCs w:val="20"/>
        </w:rPr>
        <w:t xml:space="preserve">настоящего </w:t>
      </w:r>
      <w:r w:rsidR="00F02267">
        <w:rPr>
          <w:rFonts w:ascii="Times New Roman" w:hAnsi="Times New Roman"/>
          <w:sz w:val="20"/>
          <w:szCs w:val="20"/>
        </w:rPr>
        <w:t>З</w:t>
      </w:r>
      <w:r w:rsidR="008B3B1B" w:rsidRPr="000B3534">
        <w:rPr>
          <w:rFonts w:ascii="Times New Roman" w:hAnsi="Times New Roman"/>
          <w:sz w:val="20"/>
          <w:szCs w:val="20"/>
        </w:rPr>
        <w:t xml:space="preserve">аявления осуществляется Обществом с </w:t>
      </w:r>
      <w:r w:rsidR="006035B2" w:rsidRPr="000B3534">
        <w:rPr>
          <w:rFonts w:ascii="Times New Roman" w:hAnsi="Times New Roman"/>
          <w:sz w:val="20"/>
          <w:szCs w:val="20"/>
        </w:rPr>
        <w:t>ограниченной ответственностью «</w:t>
      </w:r>
      <w:r w:rsidR="00730F5B" w:rsidRPr="000B3534">
        <w:rPr>
          <w:rFonts w:ascii="Times New Roman" w:hAnsi="Times New Roman"/>
          <w:sz w:val="20"/>
          <w:szCs w:val="20"/>
        </w:rPr>
        <w:t>Московские партнеры</w:t>
      </w:r>
      <w:r w:rsidR="006035B2" w:rsidRPr="000B3534">
        <w:rPr>
          <w:rFonts w:ascii="Times New Roman" w:hAnsi="Times New Roman"/>
          <w:sz w:val="20"/>
          <w:szCs w:val="20"/>
        </w:rPr>
        <w:t>» путем совершени</w:t>
      </w:r>
      <w:r w:rsidR="000B3534">
        <w:rPr>
          <w:rFonts w:ascii="Times New Roman" w:hAnsi="Times New Roman"/>
          <w:sz w:val="20"/>
          <w:szCs w:val="20"/>
        </w:rPr>
        <w:t>я</w:t>
      </w:r>
      <w:r w:rsidR="006035B2" w:rsidRPr="000B3534">
        <w:rPr>
          <w:rFonts w:ascii="Times New Roman" w:hAnsi="Times New Roman"/>
          <w:sz w:val="20"/>
          <w:szCs w:val="20"/>
        </w:rPr>
        <w:t xml:space="preserve"> действий по </w:t>
      </w:r>
      <w:r w:rsidR="00F02267" w:rsidRPr="00F02267">
        <w:rPr>
          <w:rFonts w:ascii="Times New Roman" w:hAnsi="Times New Roman"/>
          <w:sz w:val="20"/>
          <w:szCs w:val="20"/>
        </w:rPr>
        <w:t>выполнению условий Договора</w:t>
      </w:r>
      <w:r w:rsidR="000B3534">
        <w:rPr>
          <w:rFonts w:ascii="Times New Roman" w:hAnsi="Times New Roman"/>
          <w:sz w:val="20"/>
          <w:szCs w:val="20"/>
        </w:rPr>
        <w:t>.</w:t>
      </w:r>
    </w:p>
    <w:p w:rsidR="002B561A" w:rsidRPr="00BA0B41" w:rsidRDefault="0002435E" w:rsidP="00BA0B41">
      <w:pPr>
        <w:pStyle w:val="a4"/>
        <w:numPr>
          <w:ilvl w:val="0"/>
          <w:numId w:val="10"/>
        </w:numPr>
        <w:spacing w:after="0" w:line="240" w:lineRule="auto"/>
        <w:ind w:left="0" w:firstLine="0"/>
        <w:contextualSpacing w:val="0"/>
        <w:jc w:val="both"/>
        <w:rPr>
          <w:rFonts w:ascii="Times New Roman" w:hAnsi="Times New Roman"/>
          <w:sz w:val="20"/>
          <w:szCs w:val="20"/>
        </w:rPr>
      </w:pPr>
      <w:r w:rsidRPr="00BA0B41">
        <w:rPr>
          <w:rFonts w:ascii="Times New Roman" w:hAnsi="Times New Roman"/>
          <w:sz w:val="20"/>
          <w:szCs w:val="20"/>
        </w:rPr>
        <w:t xml:space="preserve">Акцепт </w:t>
      </w:r>
      <w:r w:rsidR="002B561A" w:rsidRPr="00BA0B41">
        <w:rPr>
          <w:rFonts w:ascii="Times New Roman" w:hAnsi="Times New Roman"/>
          <w:sz w:val="20"/>
          <w:szCs w:val="20"/>
        </w:rPr>
        <w:t>Обществом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B561A" w:rsidRPr="00BA0B41">
        <w:rPr>
          <w:rFonts w:ascii="Times New Roman" w:hAnsi="Times New Roman"/>
          <w:sz w:val="20"/>
          <w:szCs w:val="20"/>
        </w:rPr>
        <w:t xml:space="preserve">» предложения о заключении </w:t>
      </w:r>
      <w:r w:rsidR="00674C27">
        <w:rPr>
          <w:rFonts w:ascii="Times New Roman" w:hAnsi="Times New Roman"/>
          <w:sz w:val="20"/>
          <w:szCs w:val="20"/>
        </w:rPr>
        <w:t>Д</w:t>
      </w:r>
      <w:r w:rsidR="002B561A" w:rsidRPr="00BA0B41">
        <w:rPr>
          <w:rFonts w:ascii="Times New Roman" w:hAnsi="Times New Roman"/>
          <w:sz w:val="20"/>
          <w:szCs w:val="20"/>
        </w:rPr>
        <w:t>оговор</w:t>
      </w:r>
      <w:r w:rsidR="00674C27">
        <w:rPr>
          <w:rFonts w:ascii="Times New Roman" w:hAnsi="Times New Roman"/>
          <w:sz w:val="20"/>
          <w:szCs w:val="20"/>
        </w:rPr>
        <w:t>а</w:t>
      </w:r>
      <w:r w:rsidR="002B561A" w:rsidRPr="00BA0B41">
        <w:rPr>
          <w:rFonts w:ascii="Times New Roman" w:hAnsi="Times New Roman"/>
          <w:sz w:val="20"/>
          <w:szCs w:val="20"/>
        </w:rPr>
        <w:t xml:space="preserve"> способом, указанным в </w:t>
      </w:r>
      <w:r w:rsidR="00C719EC">
        <w:rPr>
          <w:rFonts w:ascii="Times New Roman" w:hAnsi="Times New Roman"/>
          <w:sz w:val="20"/>
          <w:szCs w:val="20"/>
        </w:rPr>
        <w:t xml:space="preserve">настоящем </w:t>
      </w:r>
      <w:r w:rsidR="00F02267">
        <w:rPr>
          <w:rFonts w:ascii="Times New Roman" w:hAnsi="Times New Roman"/>
          <w:sz w:val="20"/>
          <w:szCs w:val="20"/>
        </w:rPr>
        <w:t>З</w:t>
      </w:r>
      <w:r w:rsidRPr="00BA0B41">
        <w:rPr>
          <w:rFonts w:ascii="Times New Roman" w:hAnsi="Times New Roman"/>
          <w:sz w:val="20"/>
          <w:szCs w:val="20"/>
        </w:rPr>
        <w:t>аявлени</w:t>
      </w:r>
      <w:r w:rsidR="00674C27">
        <w:rPr>
          <w:rFonts w:ascii="Times New Roman" w:hAnsi="Times New Roman"/>
          <w:sz w:val="20"/>
          <w:szCs w:val="20"/>
        </w:rPr>
        <w:t>и</w:t>
      </w:r>
      <w:r w:rsidR="002E6206" w:rsidRPr="00BA0B41">
        <w:rPr>
          <w:rFonts w:ascii="Times New Roman" w:hAnsi="Times New Roman"/>
          <w:sz w:val="20"/>
          <w:szCs w:val="20"/>
        </w:rPr>
        <w:t xml:space="preserve">, </w:t>
      </w:r>
      <w:r w:rsidRPr="00BA0B41">
        <w:rPr>
          <w:rFonts w:ascii="Times New Roman" w:hAnsi="Times New Roman"/>
          <w:sz w:val="20"/>
          <w:szCs w:val="20"/>
        </w:rPr>
        <w:t>является в соответствии с п. 3 ст. 434 Гражданского кодекса</w:t>
      </w:r>
      <w:r w:rsidR="00D6169E" w:rsidRPr="00BA0B41">
        <w:rPr>
          <w:rFonts w:ascii="Times New Roman" w:hAnsi="Times New Roman"/>
          <w:sz w:val="20"/>
          <w:szCs w:val="20"/>
        </w:rPr>
        <w:t xml:space="preserve"> соблюдением письменной формы договора</w:t>
      </w:r>
      <w:r w:rsidR="002E6206" w:rsidRPr="00BA0B41">
        <w:rPr>
          <w:rFonts w:ascii="Times New Roman" w:hAnsi="Times New Roman"/>
          <w:sz w:val="20"/>
          <w:szCs w:val="20"/>
        </w:rPr>
        <w:t>.</w:t>
      </w:r>
    </w:p>
    <w:p w:rsidR="002B561A" w:rsidRPr="00BA0B41" w:rsidRDefault="00C063A6" w:rsidP="00BA0B41">
      <w:pPr>
        <w:pStyle w:val="a4"/>
        <w:numPr>
          <w:ilvl w:val="0"/>
          <w:numId w:val="10"/>
        </w:numPr>
        <w:spacing w:after="0" w:line="240" w:lineRule="auto"/>
        <w:ind w:left="0" w:firstLine="0"/>
        <w:contextualSpacing w:val="0"/>
        <w:jc w:val="both"/>
        <w:rPr>
          <w:rFonts w:ascii="Times New Roman" w:eastAsia="MS Gothic" w:hAnsi="Times New Roman"/>
          <w:sz w:val="20"/>
          <w:szCs w:val="20"/>
        </w:rPr>
      </w:pPr>
      <w:r w:rsidRPr="00BA0B41">
        <w:rPr>
          <w:rFonts w:ascii="Times New Roman" w:hAnsi="Times New Roman"/>
          <w:sz w:val="20"/>
          <w:szCs w:val="20"/>
        </w:rPr>
        <w:t>О</w:t>
      </w:r>
      <w:r w:rsidR="002B561A" w:rsidRPr="00BA0B41">
        <w:rPr>
          <w:rFonts w:ascii="Times New Roman" w:hAnsi="Times New Roman"/>
          <w:sz w:val="20"/>
          <w:szCs w:val="20"/>
        </w:rPr>
        <w:t xml:space="preserve"> принятии Обществом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B561A" w:rsidRPr="00BA0B41">
        <w:rPr>
          <w:rFonts w:ascii="Times New Roman" w:hAnsi="Times New Roman"/>
          <w:sz w:val="20"/>
          <w:szCs w:val="20"/>
        </w:rPr>
        <w:t xml:space="preserve">» предложения о заключении </w:t>
      </w:r>
      <w:r w:rsidR="00674C27">
        <w:rPr>
          <w:rFonts w:ascii="Times New Roman" w:hAnsi="Times New Roman"/>
          <w:sz w:val="20"/>
          <w:szCs w:val="20"/>
        </w:rPr>
        <w:t>Д</w:t>
      </w:r>
      <w:r w:rsidR="002B561A" w:rsidRPr="00BA0B41">
        <w:rPr>
          <w:rFonts w:ascii="Times New Roman" w:hAnsi="Times New Roman"/>
          <w:sz w:val="20"/>
          <w:szCs w:val="20"/>
        </w:rPr>
        <w:t>оговор</w:t>
      </w:r>
      <w:r w:rsidR="00674C27">
        <w:rPr>
          <w:rFonts w:ascii="Times New Roman" w:hAnsi="Times New Roman"/>
          <w:sz w:val="20"/>
          <w:szCs w:val="20"/>
        </w:rPr>
        <w:t>а</w:t>
      </w:r>
      <w:r w:rsidR="002E6206" w:rsidRPr="00BA0B41">
        <w:rPr>
          <w:rFonts w:ascii="Times New Roman" w:hAnsi="Times New Roman"/>
          <w:sz w:val="20"/>
          <w:szCs w:val="20"/>
        </w:rPr>
        <w:t>, Общество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2E6206" w:rsidRPr="00BA0B41">
        <w:rPr>
          <w:rFonts w:ascii="Times New Roman" w:hAnsi="Times New Roman"/>
          <w:sz w:val="20"/>
          <w:szCs w:val="20"/>
        </w:rPr>
        <w:t xml:space="preserve">» направляет заявителю </w:t>
      </w:r>
      <w:r w:rsidR="00731114" w:rsidRPr="00731114">
        <w:rPr>
          <w:rFonts w:ascii="Times New Roman" w:hAnsi="Times New Roman"/>
          <w:sz w:val="20"/>
          <w:szCs w:val="20"/>
        </w:rPr>
        <w:t>Уведомление о заключении договора и открытии счета</w:t>
      </w:r>
      <w:r w:rsidR="002E6206" w:rsidRPr="00BA0B41">
        <w:rPr>
          <w:rFonts w:ascii="Times New Roman" w:hAnsi="Times New Roman"/>
          <w:sz w:val="20"/>
          <w:szCs w:val="20"/>
        </w:rPr>
        <w:t xml:space="preserve">. Такое уведомление направляется посредством электронной почты, используя адрес электронной почты Клиента, указанный </w:t>
      </w:r>
      <w:r w:rsidR="002E6206" w:rsidRPr="00BA0B41">
        <w:rPr>
          <w:rFonts w:ascii="Times New Roman" w:eastAsia="MS Gothic" w:hAnsi="Times New Roman"/>
          <w:sz w:val="20"/>
          <w:szCs w:val="20"/>
        </w:rPr>
        <w:t>Клиентом в Анкете</w:t>
      </w:r>
      <w:r w:rsidR="002C7F05" w:rsidRPr="00BA0B41">
        <w:rPr>
          <w:rFonts w:ascii="Times New Roman" w:eastAsia="MS Gothic" w:hAnsi="Times New Roman"/>
          <w:sz w:val="20"/>
          <w:szCs w:val="20"/>
        </w:rPr>
        <w:t>.</w:t>
      </w:r>
    </w:p>
    <w:p w:rsidR="00425FAB" w:rsidRDefault="00425FAB"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C75CC7" w:rsidRPr="00B77346" w:rsidRDefault="00813D02" w:rsidP="003D7E2E">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ПРИСОЕДИНЕНИЕ К ДОГОВОРУ О БРОКЕРСКОМ ОБСЛУЖИВАНИИ</w:t>
      </w:r>
    </w:p>
    <w:p w:rsidR="0001185A" w:rsidRDefault="0062353E" w:rsidP="00BA0B41">
      <w:pPr>
        <w:tabs>
          <w:tab w:val="left" w:pos="1134"/>
        </w:tabs>
        <w:spacing w:after="0" w:line="240" w:lineRule="auto"/>
        <w:jc w:val="both"/>
        <w:rPr>
          <w:rFonts w:ascii="Times New Roman" w:eastAsia="MS Gothic" w:hAnsi="Times New Roman"/>
          <w:sz w:val="20"/>
          <w:szCs w:val="20"/>
        </w:rPr>
      </w:pPr>
      <w:r w:rsidRPr="00BA0B41">
        <w:rPr>
          <w:rFonts w:ascii="Times New Roman" w:eastAsia="MS Gothic" w:hAnsi="Times New Roman"/>
          <w:sz w:val="20"/>
          <w:szCs w:val="20"/>
        </w:rPr>
        <w:t>Настоящим в соответстви</w:t>
      </w:r>
      <w:r w:rsidR="008F4FC5">
        <w:rPr>
          <w:rFonts w:ascii="Times New Roman" w:eastAsia="MS Gothic" w:hAnsi="Times New Roman"/>
          <w:sz w:val="20"/>
          <w:szCs w:val="20"/>
        </w:rPr>
        <w:t>и</w:t>
      </w:r>
      <w:r w:rsidRPr="00BA0B41">
        <w:rPr>
          <w:rFonts w:ascii="Times New Roman" w:eastAsia="MS Gothic" w:hAnsi="Times New Roman"/>
          <w:sz w:val="20"/>
          <w:szCs w:val="20"/>
        </w:rPr>
        <w:t xml:space="preserve"> со статьей 428 Гражданского кодекса РФ полностью </w:t>
      </w:r>
      <w:r w:rsidR="005B2B33" w:rsidRPr="00BA0B41">
        <w:rPr>
          <w:rFonts w:ascii="Times New Roman" w:eastAsia="MS Gothic" w:hAnsi="Times New Roman"/>
          <w:sz w:val="20"/>
          <w:szCs w:val="20"/>
        </w:rPr>
        <w:t xml:space="preserve">и безусловно </w:t>
      </w:r>
      <w:r w:rsidR="008B05B2" w:rsidRPr="00BA0B41">
        <w:rPr>
          <w:rFonts w:ascii="Times New Roman" w:eastAsia="MS Gothic" w:hAnsi="Times New Roman"/>
          <w:sz w:val="20"/>
          <w:szCs w:val="20"/>
        </w:rPr>
        <w:t>принимаю условия Договора</w:t>
      </w:r>
      <w:r w:rsidRPr="00BA0B41">
        <w:rPr>
          <w:rFonts w:ascii="Times New Roman" w:eastAsia="MS Gothic" w:hAnsi="Times New Roman"/>
          <w:sz w:val="20"/>
          <w:szCs w:val="20"/>
        </w:rPr>
        <w:t xml:space="preserve"> о брокерском обслуживании</w:t>
      </w:r>
      <w:r w:rsidR="003F34E4">
        <w:rPr>
          <w:rFonts w:ascii="Times New Roman" w:eastAsia="MS Gothic" w:hAnsi="Times New Roman"/>
          <w:sz w:val="20"/>
          <w:szCs w:val="20"/>
        </w:rPr>
        <w:t xml:space="preserve"> </w:t>
      </w:r>
      <w:r w:rsidR="003F34E4">
        <w:rPr>
          <w:rFonts w:ascii="Times New Roman" w:hAnsi="Times New Roman"/>
          <w:sz w:val="20"/>
          <w:szCs w:val="20"/>
        </w:rPr>
        <w:t>(далее – Договор)</w:t>
      </w:r>
      <w:r w:rsidRPr="00BA0B41">
        <w:rPr>
          <w:rFonts w:ascii="Times New Roman" w:eastAsia="MS Gothic" w:hAnsi="Times New Roman"/>
          <w:sz w:val="20"/>
          <w:szCs w:val="20"/>
        </w:rPr>
        <w:t xml:space="preserve">, </w:t>
      </w:r>
      <w:r w:rsidR="00FB10A7" w:rsidRPr="00BA0B41">
        <w:rPr>
          <w:rFonts w:ascii="Times New Roman" w:eastAsia="MS Gothic" w:hAnsi="Times New Roman"/>
          <w:sz w:val="20"/>
          <w:szCs w:val="20"/>
        </w:rPr>
        <w:t xml:space="preserve">форма и </w:t>
      </w:r>
      <w:r w:rsidRPr="00BA0B41">
        <w:rPr>
          <w:rFonts w:ascii="Times New Roman" w:eastAsia="MS Gothic" w:hAnsi="Times New Roman"/>
          <w:sz w:val="20"/>
          <w:szCs w:val="20"/>
        </w:rPr>
        <w:t xml:space="preserve">условия которого </w:t>
      </w:r>
      <w:r w:rsidR="006E3464" w:rsidRPr="00BA0B41">
        <w:rPr>
          <w:rFonts w:ascii="Times New Roman" w:eastAsia="MS Gothic" w:hAnsi="Times New Roman"/>
          <w:sz w:val="20"/>
          <w:szCs w:val="20"/>
        </w:rPr>
        <w:t>закреплены</w:t>
      </w:r>
      <w:r w:rsidR="00813D02" w:rsidRPr="00BA0B41">
        <w:rPr>
          <w:rFonts w:ascii="Times New Roman" w:eastAsia="MS Gothic" w:hAnsi="Times New Roman"/>
          <w:sz w:val="20"/>
          <w:szCs w:val="20"/>
        </w:rPr>
        <w:t xml:space="preserve"> </w:t>
      </w:r>
      <w:r w:rsidR="002E431B" w:rsidRPr="00BA0B41">
        <w:rPr>
          <w:rFonts w:ascii="Times New Roman" w:eastAsia="MS Gothic" w:hAnsi="Times New Roman"/>
          <w:sz w:val="20"/>
          <w:szCs w:val="20"/>
        </w:rPr>
        <w:t xml:space="preserve">в </w:t>
      </w:r>
      <w:r w:rsidR="006E3464" w:rsidRPr="00BA0B41">
        <w:rPr>
          <w:rFonts w:ascii="Times New Roman" w:eastAsia="MS Gothic" w:hAnsi="Times New Roman"/>
          <w:sz w:val="20"/>
          <w:szCs w:val="20"/>
        </w:rPr>
        <w:t xml:space="preserve">Приложении № </w:t>
      </w:r>
      <w:r w:rsidR="00C120D9" w:rsidRPr="00BA0B41">
        <w:rPr>
          <w:rFonts w:ascii="Times New Roman" w:eastAsia="MS Gothic" w:hAnsi="Times New Roman"/>
          <w:sz w:val="20"/>
          <w:szCs w:val="20"/>
        </w:rPr>
        <w:t>1</w:t>
      </w:r>
      <w:r w:rsidR="006E3464" w:rsidRPr="00BA0B41">
        <w:rPr>
          <w:rFonts w:ascii="Times New Roman" w:eastAsia="MS Gothic" w:hAnsi="Times New Roman"/>
          <w:sz w:val="20"/>
          <w:szCs w:val="20"/>
        </w:rPr>
        <w:t xml:space="preserve"> к Регламенту</w:t>
      </w:r>
      <w:r w:rsidR="00BF6B9B" w:rsidRPr="00BA0B41">
        <w:rPr>
          <w:rFonts w:ascii="Times New Roman" w:eastAsia="MS Gothic" w:hAnsi="Times New Roman"/>
          <w:sz w:val="20"/>
          <w:szCs w:val="20"/>
        </w:rPr>
        <w:t xml:space="preserve"> осуществления брокерской деятельности в Обществе с ограниченной ответственностью «</w:t>
      </w:r>
      <w:r w:rsidR="00730F5B">
        <w:rPr>
          <w:rFonts w:ascii="Times New Roman" w:hAnsi="Times New Roman"/>
          <w:sz w:val="20"/>
          <w:szCs w:val="20"/>
        </w:rPr>
        <w:t>М</w:t>
      </w:r>
      <w:r w:rsidR="00730F5B" w:rsidRPr="00BA0B41">
        <w:rPr>
          <w:rFonts w:ascii="Times New Roman" w:hAnsi="Times New Roman"/>
          <w:sz w:val="20"/>
          <w:szCs w:val="20"/>
        </w:rPr>
        <w:t>осковские партнеры</w:t>
      </w:r>
      <w:r w:rsidR="00BF6B9B" w:rsidRPr="00BA0B41">
        <w:rPr>
          <w:rFonts w:ascii="Times New Roman" w:eastAsia="MS Gothic" w:hAnsi="Times New Roman"/>
          <w:sz w:val="20"/>
          <w:szCs w:val="20"/>
        </w:rPr>
        <w:t>»</w:t>
      </w:r>
      <w:r w:rsidR="00AF069C" w:rsidRPr="00BA0B41">
        <w:rPr>
          <w:rFonts w:ascii="Times New Roman" w:eastAsia="MS Gothic" w:hAnsi="Times New Roman"/>
          <w:sz w:val="20"/>
          <w:szCs w:val="20"/>
        </w:rPr>
        <w:t xml:space="preserve"> </w:t>
      </w:r>
      <w:r w:rsidR="003F34E4">
        <w:rPr>
          <w:rFonts w:ascii="Times New Roman" w:eastAsia="MS Gothic" w:hAnsi="Times New Roman"/>
          <w:sz w:val="20"/>
          <w:szCs w:val="20"/>
        </w:rPr>
        <w:t>(далее – Регламент).</w:t>
      </w:r>
    </w:p>
    <w:p w:rsidR="00360978" w:rsidRPr="00191808" w:rsidRDefault="00360978" w:rsidP="00360978">
      <w:pPr>
        <w:tabs>
          <w:tab w:val="left" w:pos="1134"/>
        </w:tabs>
        <w:spacing w:after="0" w:line="240" w:lineRule="auto"/>
        <w:jc w:val="both"/>
        <w:rPr>
          <w:rFonts w:ascii="Times New Roman" w:eastAsia="MS Gothic" w:hAnsi="Times New Roman"/>
          <w:b/>
          <w:i/>
          <w:sz w:val="20"/>
          <w:szCs w:val="20"/>
        </w:rPr>
      </w:pPr>
      <w:r w:rsidRPr="00191808">
        <w:rPr>
          <w:rFonts w:ascii="Times New Roman" w:hAnsi="Times New Roman"/>
          <w:b/>
          <w:i/>
          <w:sz w:val="20"/>
          <w:szCs w:val="20"/>
        </w:rPr>
        <w:t xml:space="preserve">В случаях, </w:t>
      </w:r>
      <w:r w:rsidR="00474338">
        <w:rPr>
          <w:rFonts w:ascii="Times New Roman" w:hAnsi="Times New Roman"/>
          <w:b/>
          <w:i/>
          <w:sz w:val="20"/>
          <w:szCs w:val="20"/>
        </w:rPr>
        <w:t xml:space="preserve">когда </w:t>
      </w:r>
      <w:r w:rsidRPr="00191808">
        <w:rPr>
          <w:rFonts w:ascii="Times New Roman" w:hAnsi="Times New Roman"/>
          <w:b/>
          <w:i/>
          <w:sz w:val="20"/>
          <w:szCs w:val="20"/>
        </w:rPr>
        <w:t>условия брокерского обслуживания включают в себя предоставление Клиенту индивидуальных инвестиционных рекомендаций, Компания на основании Договора о Брокерском обслуживании оказывает Клиенту также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Клиенту индивидуальных инвестиционных рекомендаций.</w:t>
      </w:r>
    </w:p>
    <w:p w:rsidR="00BF6B9B" w:rsidRPr="00BA0B41" w:rsidRDefault="004C06FB" w:rsidP="00BA0B41">
      <w:pPr>
        <w:tabs>
          <w:tab w:val="left" w:pos="1134"/>
        </w:tabs>
        <w:spacing w:after="0" w:line="240" w:lineRule="auto"/>
        <w:jc w:val="both"/>
        <w:rPr>
          <w:rFonts w:ascii="Times New Roman" w:eastAsia="MS Gothic" w:hAnsi="Times New Roman"/>
          <w:sz w:val="20"/>
          <w:szCs w:val="20"/>
        </w:rPr>
      </w:pPr>
      <w:r w:rsidRPr="00BA0B41">
        <w:rPr>
          <w:rFonts w:ascii="Times New Roman" w:eastAsia="MS Gothic" w:hAnsi="Times New Roman"/>
          <w:sz w:val="20"/>
          <w:szCs w:val="20"/>
        </w:rPr>
        <w:t xml:space="preserve">С даты </w:t>
      </w:r>
      <w:r w:rsidR="00C120D9" w:rsidRPr="00BA0B41">
        <w:rPr>
          <w:rFonts w:ascii="Times New Roman" w:eastAsia="MS Gothic" w:hAnsi="Times New Roman"/>
          <w:sz w:val="20"/>
          <w:szCs w:val="20"/>
        </w:rPr>
        <w:t xml:space="preserve">заключения </w:t>
      </w:r>
      <w:r w:rsidRPr="00BA0B41">
        <w:rPr>
          <w:rFonts w:ascii="Times New Roman" w:eastAsia="MS Gothic" w:hAnsi="Times New Roman"/>
          <w:sz w:val="20"/>
          <w:szCs w:val="20"/>
        </w:rPr>
        <w:t xml:space="preserve">Договора, заключаемого на основании </w:t>
      </w:r>
      <w:r w:rsidR="00C719EC">
        <w:rPr>
          <w:rFonts w:ascii="Times New Roman" w:eastAsia="MS Gothic" w:hAnsi="Times New Roman"/>
          <w:sz w:val="20"/>
          <w:szCs w:val="20"/>
        </w:rPr>
        <w:t xml:space="preserve">настоящего </w:t>
      </w:r>
      <w:r w:rsidRPr="00BA0B41">
        <w:rPr>
          <w:rFonts w:ascii="Times New Roman" w:eastAsia="MS Gothic" w:hAnsi="Times New Roman"/>
          <w:sz w:val="20"/>
          <w:szCs w:val="20"/>
        </w:rPr>
        <w:t xml:space="preserve">Заявления, </w:t>
      </w:r>
      <w:r w:rsidR="00BF6B9B" w:rsidRPr="00BA0B41">
        <w:rPr>
          <w:rFonts w:ascii="Times New Roman" w:eastAsia="MS Gothic" w:hAnsi="Times New Roman"/>
          <w:sz w:val="20"/>
          <w:szCs w:val="20"/>
        </w:rPr>
        <w:t xml:space="preserve">принимаю на себя права и обязанности Клиента, как они описаны </w:t>
      </w:r>
      <w:r w:rsidR="00001E0F" w:rsidRPr="00BA0B41">
        <w:rPr>
          <w:rFonts w:ascii="Times New Roman" w:eastAsia="MS Gothic" w:hAnsi="Times New Roman"/>
          <w:sz w:val="20"/>
          <w:szCs w:val="20"/>
        </w:rPr>
        <w:t>в Регламенте</w:t>
      </w:r>
      <w:r w:rsidR="007D2F9B" w:rsidRPr="00BA0B41">
        <w:rPr>
          <w:rFonts w:ascii="Times New Roman" w:eastAsia="MS Gothic" w:hAnsi="Times New Roman"/>
          <w:sz w:val="20"/>
          <w:szCs w:val="20"/>
        </w:rPr>
        <w:t>.</w:t>
      </w:r>
    </w:p>
    <w:p w:rsidR="00001E0F" w:rsidRPr="00BA0B41" w:rsidRDefault="0062353E"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Подписание</w:t>
      </w:r>
      <w:r w:rsidR="00FB10A7" w:rsidRPr="00BA0B41">
        <w:rPr>
          <w:rFonts w:ascii="Times New Roman" w:eastAsia="MS Gothic" w:hAnsi="Times New Roman"/>
          <w:sz w:val="20"/>
          <w:szCs w:val="20"/>
        </w:rPr>
        <w:t>м</w:t>
      </w:r>
      <w:r w:rsidRPr="00BA0B41">
        <w:rPr>
          <w:rFonts w:ascii="Times New Roman" w:eastAsia="MS Gothic" w:hAnsi="Times New Roman"/>
          <w:sz w:val="20"/>
          <w:szCs w:val="20"/>
        </w:rPr>
        <w:t xml:space="preserve"> настоящего З</w:t>
      </w:r>
      <w:r w:rsidR="00FB10A7" w:rsidRPr="00BA0B41">
        <w:rPr>
          <w:rFonts w:ascii="Times New Roman" w:eastAsia="MS Gothic" w:hAnsi="Times New Roman"/>
          <w:sz w:val="20"/>
          <w:szCs w:val="20"/>
        </w:rPr>
        <w:t xml:space="preserve">аявления подтверждаю, </w:t>
      </w:r>
      <w:r w:rsidRPr="00BA0B41">
        <w:rPr>
          <w:rFonts w:ascii="Times New Roman" w:eastAsia="MS Gothic" w:hAnsi="Times New Roman"/>
          <w:sz w:val="20"/>
          <w:szCs w:val="20"/>
        </w:rPr>
        <w:t xml:space="preserve">что с условиями </w:t>
      </w:r>
      <w:r w:rsidR="008B05B2" w:rsidRPr="00BA0B41">
        <w:rPr>
          <w:rFonts w:ascii="Times New Roman" w:eastAsia="MS Gothic" w:hAnsi="Times New Roman"/>
          <w:sz w:val="20"/>
          <w:szCs w:val="20"/>
        </w:rPr>
        <w:t xml:space="preserve">Договора и </w:t>
      </w:r>
      <w:r w:rsidRPr="00BA0B41">
        <w:rPr>
          <w:rFonts w:ascii="Times New Roman" w:eastAsia="MS Gothic" w:hAnsi="Times New Roman"/>
          <w:sz w:val="20"/>
          <w:szCs w:val="20"/>
        </w:rPr>
        <w:t>Регламента</w:t>
      </w:r>
      <w:r w:rsidR="002E431B" w:rsidRPr="00BA0B41">
        <w:rPr>
          <w:rFonts w:ascii="Times New Roman" w:eastAsia="MS Gothic" w:hAnsi="Times New Roman"/>
          <w:sz w:val="20"/>
          <w:szCs w:val="20"/>
        </w:rPr>
        <w:t>, размещенным</w:t>
      </w:r>
      <w:r w:rsidR="003F34E4">
        <w:rPr>
          <w:rFonts w:ascii="Times New Roman" w:eastAsia="MS Gothic" w:hAnsi="Times New Roman"/>
          <w:sz w:val="20"/>
          <w:szCs w:val="20"/>
        </w:rPr>
        <w:t>и</w:t>
      </w:r>
      <w:r w:rsidR="002E431B" w:rsidRPr="00BA0B41">
        <w:rPr>
          <w:rFonts w:ascii="Times New Roman" w:eastAsia="MS Gothic" w:hAnsi="Times New Roman"/>
          <w:sz w:val="20"/>
          <w:szCs w:val="20"/>
        </w:rPr>
        <w:t xml:space="preserve"> на странице Компании в сети Интернет по адресу:</w:t>
      </w:r>
      <w:r w:rsidR="00851DA3" w:rsidRPr="00BA0B41">
        <w:rPr>
          <w:rFonts w:ascii="Times New Roman" w:eastAsia="MS Gothic" w:hAnsi="Times New Roman"/>
          <w:sz w:val="20"/>
          <w:szCs w:val="20"/>
        </w:rPr>
        <w:t xml:space="preserve"> http://www.moscowpartners.com</w:t>
      </w:r>
      <w:r w:rsidR="002E431B" w:rsidRPr="00BA0B41">
        <w:rPr>
          <w:rFonts w:ascii="Times New Roman" w:eastAsia="MS Gothic" w:hAnsi="Times New Roman"/>
          <w:sz w:val="20"/>
          <w:szCs w:val="20"/>
        </w:rPr>
        <w:t>,</w:t>
      </w:r>
      <w:r w:rsidRPr="00BA0B41">
        <w:rPr>
          <w:rFonts w:ascii="Times New Roman" w:eastAsia="MS Gothic" w:hAnsi="Times New Roman"/>
          <w:sz w:val="20"/>
          <w:szCs w:val="20"/>
        </w:rPr>
        <w:t xml:space="preserve"> ознакомлен и согласен, их содержание мне полностью понятно.</w:t>
      </w:r>
    </w:p>
    <w:p w:rsidR="00813D02" w:rsidRPr="00BA0B41" w:rsidRDefault="00813D02"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F112DD" w:rsidRPr="00B77346" w:rsidRDefault="00F112DD" w:rsidP="003D7E2E">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РЕГИСТРАЦИЯ В ТОРГОВЫХ СИСТЕМАХ</w:t>
      </w:r>
    </w:p>
    <w:tbl>
      <w:tblPr>
        <w:tblStyle w:val="af6"/>
        <w:tblW w:w="9923" w:type="dxa"/>
        <w:tblInd w:w="-5" w:type="dxa"/>
        <w:tblLook w:val="04A0" w:firstRow="1" w:lastRow="0" w:firstColumn="1" w:lastColumn="0" w:noHBand="0" w:noVBand="1"/>
      </w:tblPr>
      <w:tblGrid>
        <w:gridCol w:w="426"/>
        <w:gridCol w:w="9497"/>
      </w:tblGrid>
      <w:tr w:rsidR="00F112DD" w:rsidRPr="00BA0B41" w:rsidTr="00BA0B41">
        <w:tc>
          <w:tcPr>
            <w:tcW w:w="426" w:type="dxa"/>
          </w:tcPr>
          <w:p w:rsidR="00F112DD" w:rsidRPr="00BA0B41" w:rsidRDefault="00474338"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sdt>
              <w:sdtPr>
                <w:rPr>
                  <w:rFonts w:ascii="Times New Roman" w:eastAsia="MS Gothic" w:hAnsi="Times New Roman"/>
                  <w:sz w:val="20"/>
                  <w:szCs w:val="20"/>
                </w:rPr>
                <w:id w:val="11398463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497"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Московская Биржа: Сектор фондового рынка</w:t>
            </w:r>
          </w:p>
        </w:tc>
      </w:tr>
      <w:tr w:rsidR="00F112DD" w:rsidRPr="00BA0B41" w:rsidTr="00BA0B41">
        <w:tc>
          <w:tcPr>
            <w:tcW w:w="426" w:type="dxa"/>
          </w:tcPr>
          <w:p w:rsidR="00F112DD" w:rsidRPr="00BA0B41" w:rsidRDefault="00474338"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sdt>
              <w:sdtPr>
                <w:rPr>
                  <w:rFonts w:ascii="Times New Roman" w:eastAsia="MS Gothic" w:hAnsi="Times New Roman"/>
                  <w:sz w:val="20"/>
                  <w:szCs w:val="20"/>
                </w:rPr>
                <w:id w:val="-11767302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497"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Московская Биржа: Срочный рынок</w:t>
            </w:r>
          </w:p>
        </w:tc>
      </w:tr>
      <w:tr w:rsidR="00F112DD" w:rsidRPr="00BA0B41" w:rsidTr="00BA0B41">
        <w:tc>
          <w:tcPr>
            <w:tcW w:w="426" w:type="dxa"/>
          </w:tcPr>
          <w:p w:rsidR="00F112DD" w:rsidRPr="00BA0B41" w:rsidRDefault="00474338"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sdt>
              <w:sdtPr>
                <w:rPr>
                  <w:rFonts w:ascii="Times New Roman" w:eastAsia="MS Gothic" w:hAnsi="Times New Roman"/>
                  <w:sz w:val="20"/>
                  <w:szCs w:val="20"/>
                </w:rPr>
                <w:id w:val="14884406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tc>
        <w:tc>
          <w:tcPr>
            <w:tcW w:w="9497" w:type="dxa"/>
          </w:tcPr>
          <w:p w:rsidR="00F112DD" w:rsidRPr="00BA0B41"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BA0B41">
              <w:rPr>
                <w:rFonts w:ascii="Times New Roman" w:eastAsia="MS Gothic" w:hAnsi="Times New Roman"/>
                <w:sz w:val="20"/>
                <w:szCs w:val="20"/>
              </w:rPr>
              <w:t>Московская Биржа: Валютный рынок</w:t>
            </w:r>
          </w:p>
        </w:tc>
      </w:tr>
    </w:tbl>
    <w:p w:rsidR="00F112DD" w:rsidRDefault="00F112DD" w:rsidP="00BA0B41">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p>
    <w:p w:rsidR="00DD31CE" w:rsidRPr="00B77346" w:rsidRDefault="00474338"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Pr>
          <w:rFonts w:ascii="Times New Roman" w:eastAsia="MS Gothic" w:hAnsi="Times New Roman"/>
          <w:b/>
          <w:sz w:val="20"/>
          <w:szCs w:val="20"/>
        </w:rPr>
        <w:t>Предоставление индивидуальных инвестиционных рекомендаций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30"/>
        <w:gridCol w:w="523"/>
        <w:gridCol w:w="5103"/>
      </w:tblGrid>
      <w:tr w:rsidR="00DD31CE" w:rsidRPr="00DD31CE" w:rsidTr="00DD31CE">
        <w:trPr>
          <w:trHeight w:val="303"/>
        </w:trPr>
        <w:tc>
          <w:tcPr>
            <w:tcW w:w="567" w:type="dxa"/>
            <w:tcBorders>
              <w:left w:val="single" w:sz="4" w:space="0" w:color="auto"/>
            </w:tcBorders>
            <w:shd w:val="clear" w:color="auto" w:fill="auto"/>
            <w:vAlign w:val="center"/>
          </w:tcPr>
          <w:p w:rsidR="00DD31CE" w:rsidRPr="00474338" w:rsidRDefault="00474338" w:rsidP="002C504E">
            <w:pPr>
              <w:pStyle w:val="a4"/>
              <w:spacing w:after="0"/>
              <w:ind w:left="0"/>
              <w:jc w:val="center"/>
              <w:rPr>
                <w:rFonts w:ascii="Times New Roman" w:eastAsia="MS Gothic" w:hAnsi="Times New Roman"/>
                <w:sz w:val="20"/>
                <w:szCs w:val="20"/>
              </w:rPr>
            </w:pPr>
            <w:sdt>
              <w:sdtPr>
                <w:rPr>
                  <w:rFonts w:ascii="Times New Roman" w:eastAsia="MS Gothic" w:hAnsi="Times New Roman"/>
                  <w:sz w:val="20"/>
                  <w:szCs w:val="20"/>
                </w:rPr>
                <w:id w:val="-21040917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730" w:type="dxa"/>
            <w:shd w:val="clear" w:color="auto" w:fill="auto"/>
            <w:vAlign w:val="center"/>
          </w:tcPr>
          <w:p w:rsidR="00DD31CE" w:rsidRPr="00474338" w:rsidRDefault="00474338" w:rsidP="00DD31CE">
            <w:pPr>
              <w:pStyle w:val="a4"/>
              <w:spacing w:after="0"/>
              <w:ind w:left="0"/>
              <w:rPr>
                <w:rFonts w:ascii="Times New Roman" w:eastAsia="MS Gothic" w:hAnsi="Times New Roman"/>
                <w:sz w:val="20"/>
                <w:szCs w:val="20"/>
              </w:rPr>
            </w:pPr>
            <w:r w:rsidRPr="00474338">
              <w:rPr>
                <w:rFonts w:ascii="Times New Roman" w:eastAsia="MS Gothic" w:hAnsi="Times New Roman"/>
                <w:b/>
                <w:sz w:val="20"/>
                <w:szCs w:val="20"/>
              </w:rPr>
              <w:t>НЕ предоставлять</w:t>
            </w:r>
            <w:r w:rsidRPr="00474338">
              <w:rPr>
                <w:rFonts w:ascii="Times New Roman" w:eastAsia="MS Gothic" w:hAnsi="Times New Roman"/>
                <w:sz w:val="20"/>
                <w:szCs w:val="20"/>
              </w:rPr>
              <w:t xml:space="preserve"> индивидуальные инвестиционные рекомендации</w:t>
            </w:r>
          </w:p>
        </w:tc>
        <w:tc>
          <w:tcPr>
            <w:tcW w:w="523" w:type="dxa"/>
            <w:shd w:val="clear" w:color="auto" w:fill="auto"/>
            <w:vAlign w:val="center"/>
          </w:tcPr>
          <w:p w:rsidR="00DD31CE" w:rsidRPr="00474338" w:rsidRDefault="00474338" w:rsidP="002C504E">
            <w:pPr>
              <w:pStyle w:val="a4"/>
              <w:spacing w:after="0"/>
              <w:ind w:left="0"/>
              <w:rPr>
                <w:rFonts w:ascii="Times New Roman" w:eastAsia="MS Gothic" w:hAnsi="Times New Roman"/>
                <w:sz w:val="20"/>
                <w:szCs w:val="20"/>
              </w:rPr>
            </w:pPr>
            <w:sdt>
              <w:sdtPr>
                <w:rPr>
                  <w:rFonts w:ascii="Times New Roman" w:eastAsia="MS Gothic" w:hAnsi="Times New Roman"/>
                  <w:sz w:val="20"/>
                  <w:szCs w:val="20"/>
                </w:rPr>
                <w:id w:val="-938525373"/>
                <w14:checkbox>
                  <w14:checked w14:val="0"/>
                  <w14:checkedState w14:val="2612" w14:font="MS Gothic"/>
                  <w14:uncheckedState w14:val="2610" w14:font="MS Gothic"/>
                </w14:checkbox>
              </w:sdtPr>
              <w:sdtEndPr/>
              <w:sdtContent>
                <w:r w:rsidR="00DD31CE" w:rsidRPr="00474338">
                  <w:rPr>
                    <w:rFonts w:ascii="Segoe UI Symbol" w:eastAsia="MS Gothic" w:hAnsi="Segoe UI Symbol" w:cs="Segoe UI Symbol"/>
                    <w:sz w:val="20"/>
                    <w:szCs w:val="20"/>
                  </w:rPr>
                  <w:t>☐</w:t>
                </w:r>
              </w:sdtContent>
            </w:sdt>
          </w:p>
        </w:tc>
        <w:tc>
          <w:tcPr>
            <w:tcW w:w="5103" w:type="dxa"/>
            <w:shd w:val="clear" w:color="auto" w:fill="auto"/>
            <w:vAlign w:val="center"/>
          </w:tcPr>
          <w:p w:rsidR="00DD31CE" w:rsidRPr="00DD31CE" w:rsidRDefault="00474338" w:rsidP="00DD31CE">
            <w:pPr>
              <w:pStyle w:val="a4"/>
              <w:spacing w:after="0"/>
              <w:ind w:left="0"/>
              <w:rPr>
                <w:rFonts w:ascii="Times New Roman" w:hAnsi="Times New Roman"/>
                <w:sz w:val="20"/>
                <w:szCs w:val="20"/>
              </w:rPr>
            </w:pPr>
            <w:r w:rsidRPr="00474338">
              <w:rPr>
                <w:rFonts w:ascii="Times New Roman" w:hAnsi="Times New Roman"/>
                <w:b/>
                <w:sz w:val="20"/>
                <w:szCs w:val="20"/>
              </w:rPr>
              <w:t>Предоставлять</w:t>
            </w:r>
            <w:r w:rsidRPr="00474338">
              <w:rPr>
                <w:rFonts w:ascii="Times New Roman" w:hAnsi="Times New Roman"/>
                <w:sz w:val="20"/>
                <w:szCs w:val="20"/>
              </w:rPr>
              <w:t xml:space="preserve"> индивидуальные инвестиционные рекомендации</w:t>
            </w:r>
          </w:p>
        </w:tc>
      </w:tr>
    </w:tbl>
    <w:p w:rsidR="00DD31CE" w:rsidRDefault="00DD31CE" w:rsidP="00DD31CE">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DD31CE" w:rsidRDefault="00DD31CE" w:rsidP="00DD31CE">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F46665" w:rsidRPr="00B77346" w:rsidRDefault="00F46665"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 xml:space="preserve">ПРЕДОСТАВЛЕНИЕ ДОСТУПА К СИСТЕМЕ ИНТЕРНЕТ-ТРЕЙДИНГА И ПРАВА ИСПОЛЬЗОВАНИЯ ПРОГРАММНОГО ОБЕСПЕЧЕНИЯ РАБОЧЕЕ МЕСТО </w:t>
      </w:r>
      <w:r w:rsidRPr="00B77346">
        <w:rPr>
          <w:rFonts w:ascii="Times New Roman" w:eastAsia="MS Gothic" w:hAnsi="Times New Roman"/>
          <w:b/>
          <w:sz w:val="20"/>
          <w:szCs w:val="20"/>
          <w:lang w:val="en-US"/>
        </w:rPr>
        <w:t>QUIK</w:t>
      </w:r>
    </w:p>
    <w:tbl>
      <w:tblPr>
        <w:tblStyle w:val="af6"/>
        <w:tblW w:w="0" w:type="auto"/>
        <w:tblInd w:w="-5" w:type="dxa"/>
        <w:tblLook w:val="04A0" w:firstRow="1" w:lastRow="0" w:firstColumn="1" w:lastColumn="0" w:noHBand="0" w:noVBand="1"/>
      </w:tblPr>
      <w:tblGrid>
        <w:gridCol w:w="9917"/>
      </w:tblGrid>
      <w:tr w:rsidR="00F46665" w:rsidTr="00F46665">
        <w:tc>
          <w:tcPr>
            <w:tcW w:w="9917" w:type="dxa"/>
          </w:tcPr>
          <w:p w:rsidR="00F46665" w:rsidRPr="00F46665" w:rsidRDefault="00474338"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sdt>
              <w:sdtPr>
                <w:rPr>
                  <w:rFonts w:ascii="Tahoma" w:eastAsia="MS Gothic" w:hAnsi="Tahoma" w:cs="Tahoma"/>
                  <w:sz w:val="20"/>
                  <w:szCs w:val="20"/>
                </w:rPr>
                <w:id w:val="1165901465"/>
                <w14:checkbox>
                  <w14:checked w14:val="0"/>
                  <w14:checkedState w14:val="2612" w14:font="MS Gothic"/>
                  <w14:uncheckedState w14:val="2610" w14:font="MS Gothic"/>
                </w14:checkbox>
              </w:sdtPr>
              <w:sdtEndPr/>
              <w:sdtContent>
                <w:r w:rsidR="00F46665">
                  <w:rPr>
                    <w:rFonts w:ascii="MS Gothic" w:eastAsia="MS Gothic" w:hAnsi="MS Gothic" w:cs="Tahoma" w:hint="eastAsia"/>
                    <w:sz w:val="20"/>
                    <w:szCs w:val="20"/>
                  </w:rPr>
                  <w:t>☐</w:t>
                </w:r>
              </w:sdtContent>
            </w:sdt>
            <w:r w:rsidR="00F46665">
              <w:rPr>
                <w:rFonts w:ascii="Tahoma" w:eastAsia="MS Gothic" w:hAnsi="Tahoma" w:cs="Tahoma"/>
                <w:sz w:val="20"/>
                <w:szCs w:val="20"/>
              </w:rPr>
              <w:t xml:space="preserve"> </w:t>
            </w:r>
            <w:r w:rsidR="00F46665" w:rsidRPr="00F46665">
              <w:rPr>
                <w:rFonts w:ascii="Times New Roman" w:eastAsia="MS Gothic" w:hAnsi="Times New Roman"/>
                <w:sz w:val="20"/>
                <w:szCs w:val="20"/>
              </w:rPr>
              <w:t xml:space="preserve">Настоящим в соответствии со статьей 428 Гражданского кодекса РФ полностью и безусловно принимаю условия Сублицензионного договора на использование программного обеспечения </w:t>
            </w:r>
            <w:r w:rsidR="00F46665" w:rsidRPr="00F46665">
              <w:rPr>
                <w:rFonts w:ascii="Times New Roman" w:eastAsia="MS Gothic" w:hAnsi="Times New Roman"/>
                <w:sz w:val="20"/>
                <w:szCs w:val="20"/>
                <w:lang w:val="en-US"/>
              </w:rPr>
              <w:t>QUIK</w:t>
            </w:r>
            <w:r w:rsidR="00F46665" w:rsidRPr="00F46665">
              <w:rPr>
                <w:rFonts w:ascii="Times New Roman" w:eastAsia="MS Gothic" w:hAnsi="Times New Roman"/>
                <w:sz w:val="20"/>
                <w:szCs w:val="20"/>
              </w:rPr>
              <w:t xml:space="preserve"> (далее – </w:t>
            </w:r>
            <w:r w:rsidR="00F46665" w:rsidRPr="00F46665">
              <w:rPr>
                <w:rFonts w:ascii="Times New Roman" w:eastAsia="MS Gothic" w:hAnsi="Times New Roman"/>
                <w:sz w:val="20"/>
                <w:szCs w:val="20"/>
              </w:rPr>
              <w:lastRenderedPageBreak/>
              <w:t>Сублицензионный договор), форма и условия которого содержатся в Регламенте осуществления брокерской деятельности, размещенном на странице Компании в сети Интернет по адресу:</w:t>
            </w:r>
            <w:r w:rsidR="00F46665" w:rsidRPr="00BA0B41">
              <w:rPr>
                <w:rFonts w:ascii="Times New Roman" w:eastAsia="MS Gothic" w:hAnsi="Times New Roman"/>
                <w:sz w:val="20"/>
                <w:szCs w:val="20"/>
              </w:rPr>
              <w:t xml:space="preserve"> www.moscowpartners.com</w:t>
            </w:r>
            <w:r w:rsidR="00F46665" w:rsidRPr="00F46665">
              <w:rPr>
                <w:rFonts w:ascii="Times New Roman" w:eastAsia="MS Gothic" w:hAnsi="Times New Roman"/>
                <w:sz w:val="20"/>
                <w:szCs w:val="20"/>
              </w:rPr>
              <w:t xml:space="preserve">. С даты вступления в силу Сублицензионного договора, заключаемого на основании настоящего Заявления, принимаю на себя права и обязанности Сублицензиата, как они описаны в Приложении № </w:t>
            </w:r>
            <w:r w:rsidR="00F46665">
              <w:rPr>
                <w:rFonts w:ascii="Times New Roman" w:eastAsia="MS Gothic" w:hAnsi="Times New Roman"/>
                <w:sz w:val="20"/>
                <w:szCs w:val="20"/>
              </w:rPr>
              <w:t>9-1</w:t>
            </w:r>
            <w:r w:rsidR="00F46665" w:rsidRPr="00F46665">
              <w:rPr>
                <w:rFonts w:ascii="Times New Roman" w:eastAsia="MS Gothic" w:hAnsi="Times New Roman"/>
                <w:sz w:val="20"/>
                <w:szCs w:val="20"/>
              </w:rPr>
              <w:t xml:space="preserve"> к Регламенту осуществления брокерской деятельности.</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Подписанием настоящего Заявления:</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подтверждаю, что с условиями Сублицензионного договора и Регламента осуществления брокерской деятельности ознакомлен и согласен, их содержание мне полностью понятно;</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прошу Общество с ограниченной ответственностью «</w:t>
            </w:r>
            <w:r>
              <w:rPr>
                <w:rFonts w:ascii="Times New Roman" w:eastAsia="MS Gothic" w:hAnsi="Times New Roman"/>
                <w:sz w:val="20"/>
                <w:szCs w:val="20"/>
              </w:rPr>
              <w:t>Московские партнеры</w:t>
            </w:r>
            <w:r w:rsidRPr="00F46665">
              <w:rPr>
                <w:rFonts w:ascii="Times New Roman" w:eastAsia="MS Gothic" w:hAnsi="Times New Roman"/>
                <w:sz w:val="20"/>
                <w:szCs w:val="20"/>
              </w:rPr>
              <w:t xml:space="preserve">» предоставить доступ к Системе интернет-трейдинга в соответствии с условиями Регламента осуществления брокерской деятельности и предоставить право использования программного обеспечения Рабочее место </w:t>
            </w:r>
            <w:r w:rsidRPr="00F46665">
              <w:rPr>
                <w:rFonts w:ascii="Times New Roman" w:eastAsia="MS Gothic" w:hAnsi="Times New Roman"/>
                <w:sz w:val="20"/>
                <w:szCs w:val="20"/>
                <w:lang w:val="en-US"/>
              </w:rPr>
              <w:t>QUIK</w:t>
            </w:r>
            <w:r w:rsidRPr="00F46665">
              <w:rPr>
                <w:rFonts w:ascii="Times New Roman" w:eastAsia="MS Gothic" w:hAnsi="Times New Roman"/>
                <w:sz w:val="20"/>
                <w:szCs w:val="20"/>
              </w:rPr>
              <w:t>;</w:t>
            </w:r>
          </w:p>
          <w:p w:rsidR="00F46665" w:rsidRPr="00F46665" w:rsidRDefault="00F46665" w:rsidP="00F46665">
            <w:pPr>
              <w:pStyle w:val="a4"/>
              <w:autoSpaceDE w:val="0"/>
              <w:autoSpaceDN w:val="0"/>
              <w:adjustRightInd w:val="0"/>
              <w:spacing w:after="120" w:line="240" w:lineRule="auto"/>
              <w:ind w:left="34"/>
              <w:contextualSpacing w:val="0"/>
              <w:jc w:val="both"/>
              <w:rPr>
                <w:rFonts w:ascii="Times New Roman" w:eastAsia="MS Gothic" w:hAnsi="Times New Roman"/>
                <w:sz w:val="20"/>
                <w:szCs w:val="20"/>
              </w:rPr>
            </w:pPr>
            <w:r w:rsidRPr="00F46665">
              <w:rPr>
                <w:rFonts w:ascii="Times New Roman" w:eastAsia="MS Gothic" w:hAnsi="Times New Roman"/>
                <w:sz w:val="20"/>
                <w:szCs w:val="20"/>
              </w:rPr>
              <w:t>заявитель-физическое лицо обязуется обеспечивать конфиденциальность ключа простой электронной подписи, используемой в работе ПО QUIK: связка логин (имя пользователя) - пароль и код, отправляемый посредством сервиса коротких сообщений (СМС) на номер мобильного телефона (при его использовании).</w:t>
            </w:r>
          </w:p>
          <w:p w:rsidR="00F46665" w:rsidRDefault="00F46665" w:rsidP="00F4666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F46665">
              <w:rPr>
                <w:rFonts w:ascii="Times New Roman" w:eastAsia="MS Gothic" w:hAnsi="Times New Roman"/>
                <w:sz w:val="20"/>
                <w:szCs w:val="20"/>
              </w:rPr>
              <w:t xml:space="preserve">Подписание настоящего Заявления заявителем-физическим лицом является основанием для создания этому заявителю- учетной записи для работы в Системе интернет-трейдинга через Рабочее место QUIK. </w:t>
            </w:r>
          </w:p>
        </w:tc>
      </w:tr>
    </w:tbl>
    <w:p w:rsidR="00F46665" w:rsidRDefault="00F46665" w:rsidP="00F46665">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F46665" w:rsidRPr="00B77346" w:rsidRDefault="006A4D1F"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 xml:space="preserve">ЗАЯВЛЕНИЕ О РЕГИСТРАЦИИ ПРЕДСТАВИТЕЛЕЙ-ФИЗИЧЕСКИХ ЛИЦ В СИСТЕМЕ ИНТЕРНЕТ-ТРЕЙДИНГА </w:t>
      </w:r>
      <w:r w:rsidRPr="00B77346">
        <w:rPr>
          <w:rFonts w:ascii="Times New Roman" w:eastAsia="MS Gothic" w:hAnsi="Times New Roman"/>
          <w:b/>
          <w:i/>
          <w:sz w:val="20"/>
          <w:szCs w:val="20"/>
        </w:rPr>
        <w:t xml:space="preserve">(заполняется юридическими лицами, намеренными использовать программное обеспечение рабочее место </w:t>
      </w:r>
      <w:r w:rsidRPr="00B77346">
        <w:rPr>
          <w:rFonts w:ascii="Times New Roman" w:eastAsia="MS Gothic" w:hAnsi="Times New Roman"/>
          <w:b/>
          <w:i/>
          <w:sz w:val="20"/>
          <w:szCs w:val="20"/>
          <w:lang w:val="en-US"/>
        </w:rPr>
        <w:t>QUIK</w:t>
      </w:r>
      <w:r w:rsidRPr="00B77346">
        <w:rPr>
          <w:rFonts w:ascii="Times New Roman" w:eastAsia="MS Gothic" w:hAnsi="Times New Roman"/>
          <w:b/>
          <w:i/>
          <w:sz w:val="20"/>
          <w:szCs w:val="20"/>
        </w:rPr>
        <w:t xml:space="preserve"> через своих уполномоченных представителей)</w:t>
      </w:r>
    </w:p>
    <w:tbl>
      <w:tblPr>
        <w:tblStyle w:val="af6"/>
        <w:tblW w:w="0" w:type="auto"/>
        <w:tblInd w:w="-5" w:type="dxa"/>
        <w:tblLook w:val="04A0" w:firstRow="1" w:lastRow="0" w:firstColumn="1" w:lastColumn="0" w:noHBand="0" w:noVBand="1"/>
      </w:tblPr>
      <w:tblGrid>
        <w:gridCol w:w="9917"/>
      </w:tblGrid>
      <w:tr w:rsidR="006A4D1F" w:rsidTr="006A4D1F">
        <w:tc>
          <w:tcPr>
            <w:tcW w:w="9917" w:type="dxa"/>
          </w:tcPr>
          <w:p w:rsidR="006A4D1F" w:rsidRPr="000C7491" w:rsidRDefault="00474338" w:rsidP="006A4D1F">
            <w:pPr>
              <w:pStyle w:val="a4"/>
              <w:tabs>
                <w:tab w:val="left" w:pos="709"/>
              </w:tabs>
              <w:spacing w:before="120" w:after="120" w:line="240" w:lineRule="auto"/>
              <w:ind w:left="0"/>
              <w:contextualSpacing w:val="0"/>
              <w:jc w:val="both"/>
              <w:rPr>
                <w:rFonts w:ascii="Times New Roman" w:eastAsia="MS Gothic" w:hAnsi="Times New Roman"/>
                <w:sz w:val="20"/>
                <w:szCs w:val="20"/>
              </w:rPr>
            </w:pPr>
            <w:sdt>
              <w:sdtPr>
                <w:rPr>
                  <w:rFonts w:ascii="Times New Roman" w:eastAsia="MS Gothic" w:hAnsi="Times New Roman"/>
                  <w:sz w:val="20"/>
                  <w:szCs w:val="20"/>
                </w:rPr>
                <w:id w:val="492608513"/>
                <w14:checkbox>
                  <w14:checked w14:val="0"/>
                  <w14:checkedState w14:val="2612" w14:font="MS Gothic"/>
                  <w14:uncheckedState w14:val="2610" w14:font="MS Gothic"/>
                </w14:checkbox>
              </w:sdtPr>
              <w:sdtEndPr/>
              <w:sdtContent>
                <w:r w:rsidR="000C7491">
                  <w:rPr>
                    <w:rFonts w:ascii="MS Gothic" w:eastAsia="MS Gothic" w:hAnsi="MS Gothic" w:hint="eastAsia"/>
                    <w:sz w:val="20"/>
                    <w:szCs w:val="20"/>
                  </w:rPr>
                  <w:t>☐</w:t>
                </w:r>
              </w:sdtContent>
            </w:sdt>
            <w:r w:rsidR="006A4D1F" w:rsidRPr="000C7491">
              <w:rPr>
                <w:rFonts w:ascii="Times New Roman" w:eastAsia="MS Gothic" w:hAnsi="Times New Roman"/>
                <w:sz w:val="20"/>
                <w:szCs w:val="20"/>
              </w:rPr>
              <w:t xml:space="preserve"> прошу зарегистрировать указанных ниже физических лиц в качестве уполномоченных представителей, имеющих право использовать программное обеспечение Рабочее место </w:t>
            </w:r>
            <w:r w:rsidR="006A4D1F" w:rsidRPr="000C7491">
              <w:rPr>
                <w:rFonts w:ascii="Times New Roman" w:eastAsia="MS Gothic" w:hAnsi="Times New Roman"/>
                <w:sz w:val="20"/>
                <w:szCs w:val="20"/>
                <w:lang w:val="en-US"/>
              </w:rPr>
              <w:t>QUIK</w:t>
            </w:r>
            <w:r w:rsidR="006A4D1F" w:rsidRPr="000C7491">
              <w:rPr>
                <w:rFonts w:ascii="Times New Roman" w:eastAsia="MS Gothic" w:hAnsi="Times New Roman"/>
                <w:sz w:val="20"/>
                <w:szCs w:val="20"/>
              </w:rPr>
              <w:t xml:space="preserve"> в соответствии с указанным видом учетной записи; настоящим подтверждаю, что признаю информацию в электронной форме, подписанную простой электронной подписью уполномоченного представителя в порядке установленном Регламентом осуществления брокерской деятельности, электронным документом, равнозначным документу на бумажном носителе, подписанным собственноручной подписью этого уполномоченного представителей:</w:t>
            </w:r>
          </w:p>
          <w:tbl>
            <w:tblPr>
              <w:tblStyle w:val="af6"/>
              <w:tblW w:w="0" w:type="auto"/>
              <w:tblLook w:val="04A0" w:firstRow="1" w:lastRow="0" w:firstColumn="1" w:lastColumn="0" w:noHBand="0" w:noVBand="1"/>
            </w:tblPr>
            <w:tblGrid>
              <w:gridCol w:w="426"/>
              <w:gridCol w:w="4844"/>
              <w:gridCol w:w="4398"/>
            </w:tblGrid>
            <w:tr w:rsidR="006A4D1F" w:rsidRPr="000C7491" w:rsidTr="006A4D1F">
              <w:tc>
                <w:tcPr>
                  <w:tcW w:w="426" w:type="dxa"/>
                  <w:vAlign w:val="center"/>
                </w:tcPr>
                <w:p w:rsidR="006A4D1F" w:rsidRPr="000C7491" w:rsidRDefault="006A4D1F" w:rsidP="006A4D1F">
                  <w:pPr>
                    <w:pStyle w:val="a4"/>
                    <w:spacing w:after="0"/>
                    <w:ind w:left="0"/>
                    <w:rPr>
                      <w:rFonts w:ascii="Times New Roman" w:eastAsia="MS Gothic" w:hAnsi="Times New Roman"/>
                      <w:sz w:val="20"/>
                      <w:szCs w:val="20"/>
                    </w:rPr>
                  </w:pPr>
                  <w:r w:rsidRPr="000C7491">
                    <w:rPr>
                      <w:rFonts w:ascii="Times New Roman" w:eastAsia="MS Gothic" w:hAnsi="Times New Roman"/>
                      <w:sz w:val="20"/>
                      <w:szCs w:val="20"/>
                    </w:rPr>
                    <w:t>№</w:t>
                  </w:r>
                </w:p>
              </w:tc>
              <w:tc>
                <w:tcPr>
                  <w:tcW w:w="4844" w:type="dxa"/>
                  <w:vAlign w:val="center"/>
                </w:tcPr>
                <w:p w:rsidR="006A4D1F" w:rsidRPr="000C7491" w:rsidRDefault="006A4D1F" w:rsidP="006A4D1F">
                  <w:pPr>
                    <w:pStyle w:val="a4"/>
                    <w:spacing w:after="0"/>
                    <w:ind w:left="0"/>
                    <w:jc w:val="center"/>
                    <w:rPr>
                      <w:rFonts w:ascii="Times New Roman" w:eastAsia="MS Gothic" w:hAnsi="Times New Roman"/>
                      <w:sz w:val="20"/>
                      <w:szCs w:val="20"/>
                    </w:rPr>
                  </w:pPr>
                  <w:r w:rsidRPr="000C7491">
                    <w:rPr>
                      <w:rFonts w:ascii="Times New Roman" w:eastAsia="MS Gothic" w:hAnsi="Times New Roman"/>
                      <w:sz w:val="20"/>
                      <w:szCs w:val="20"/>
                    </w:rPr>
                    <w:t>Фамилия, имя, отчество</w:t>
                  </w:r>
                </w:p>
              </w:tc>
              <w:tc>
                <w:tcPr>
                  <w:tcW w:w="4398" w:type="dxa"/>
                </w:tcPr>
                <w:p w:rsidR="006A4D1F" w:rsidRPr="000C7491" w:rsidRDefault="006A4D1F" w:rsidP="006A4D1F">
                  <w:pPr>
                    <w:pStyle w:val="a4"/>
                    <w:spacing w:after="0"/>
                    <w:ind w:left="0"/>
                    <w:jc w:val="center"/>
                    <w:rPr>
                      <w:rFonts w:ascii="Times New Roman" w:eastAsia="MS Gothic" w:hAnsi="Times New Roman"/>
                      <w:sz w:val="20"/>
                      <w:szCs w:val="20"/>
                    </w:rPr>
                  </w:pPr>
                  <w:r w:rsidRPr="000C7491">
                    <w:rPr>
                      <w:rFonts w:ascii="Times New Roman" w:eastAsia="MS Gothic" w:hAnsi="Times New Roman"/>
                      <w:sz w:val="20"/>
                      <w:szCs w:val="20"/>
                    </w:rPr>
                    <w:t>Вид учетной записи</w:t>
                  </w:r>
                </w:p>
              </w:tc>
            </w:tr>
            <w:tr w:rsidR="006A4D1F" w:rsidRPr="000C7491" w:rsidTr="006A4D1F">
              <w:trPr>
                <w:trHeight w:val="227"/>
              </w:trPr>
              <w:tc>
                <w:tcPr>
                  <w:tcW w:w="426"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844"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398" w:type="dxa"/>
                </w:tcPr>
                <w:p w:rsidR="006A4D1F" w:rsidRPr="000C7491" w:rsidRDefault="00474338" w:rsidP="006A4D1F">
                  <w:pPr>
                    <w:pStyle w:val="a4"/>
                    <w:spacing w:after="0"/>
                    <w:ind w:left="0"/>
                    <w:rPr>
                      <w:rFonts w:ascii="Times New Roman" w:eastAsia="MS Gothic" w:hAnsi="Times New Roman"/>
                      <w:b/>
                      <w:i/>
                      <w:sz w:val="20"/>
                      <w:szCs w:val="20"/>
                    </w:rPr>
                  </w:pPr>
                  <w:sdt>
                    <w:sdtPr>
                      <w:rPr>
                        <w:rFonts w:ascii="Times New Roman" w:eastAsia="MS Gothic" w:hAnsi="Times New Roman"/>
                        <w:b/>
                        <w:i/>
                        <w:sz w:val="20"/>
                        <w:szCs w:val="20"/>
                      </w:rPr>
                      <w:id w:val="1058131015"/>
                      <w:placeholder>
                        <w:docPart w:val="583B2530101E4A7AAD2772BD174A6A35"/>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0C7491">
                        <w:rPr>
                          <w:rFonts w:ascii="Times New Roman" w:eastAsia="MS Gothic" w:hAnsi="Times New Roman"/>
                          <w:b/>
                          <w:i/>
                          <w:sz w:val="20"/>
                          <w:szCs w:val="20"/>
                        </w:rPr>
                        <w:t>---</w:t>
                      </w:r>
                    </w:sdtContent>
                  </w:sdt>
                </w:p>
              </w:tc>
            </w:tr>
            <w:tr w:rsidR="006A4D1F" w:rsidRPr="000C7491" w:rsidTr="006A4D1F">
              <w:tc>
                <w:tcPr>
                  <w:tcW w:w="426"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844"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398" w:type="dxa"/>
                </w:tcPr>
                <w:p w:rsidR="006A4D1F" w:rsidRPr="000C7491" w:rsidRDefault="00474338" w:rsidP="006A4D1F">
                  <w:pPr>
                    <w:pStyle w:val="a4"/>
                    <w:spacing w:after="0"/>
                    <w:ind w:left="0"/>
                    <w:rPr>
                      <w:rFonts w:ascii="Times New Roman" w:eastAsia="MS Gothic" w:hAnsi="Times New Roman"/>
                      <w:b/>
                      <w:i/>
                      <w:sz w:val="20"/>
                      <w:szCs w:val="20"/>
                    </w:rPr>
                  </w:pPr>
                  <w:sdt>
                    <w:sdtPr>
                      <w:rPr>
                        <w:rFonts w:ascii="Times New Roman" w:eastAsia="MS Gothic" w:hAnsi="Times New Roman"/>
                        <w:b/>
                        <w:i/>
                        <w:sz w:val="20"/>
                        <w:szCs w:val="20"/>
                      </w:rPr>
                      <w:id w:val="1923986622"/>
                      <w:placeholder>
                        <w:docPart w:val="1FC987150BD84CD2AC8161F3D3AEF116"/>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0C7491">
                        <w:rPr>
                          <w:rFonts w:ascii="Times New Roman" w:eastAsia="MS Gothic" w:hAnsi="Times New Roman"/>
                          <w:b/>
                          <w:i/>
                          <w:sz w:val="20"/>
                          <w:szCs w:val="20"/>
                        </w:rPr>
                        <w:t>---</w:t>
                      </w:r>
                    </w:sdtContent>
                  </w:sdt>
                </w:p>
              </w:tc>
            </w:tr>
            <w:tr w:rsidR="006A4D1F" w:rsidRPr="000C7491" w:rsidTr="006A4D1F">
              <w:tc>
                <w:tcPr>
                  <w:tcW w:w="426"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844" w:type="dxa"/>
                  <w:vAlign w:val="center"/>
                </w:tcPr>
                <w:p w:rsidR="006A4D1F" w:rsidRPr="000C7491" w:rsidRDefault="006A4D1F" w:rsidP="006A4D1F">
                  <w:pPr>
                    <w:pStyle w:val="a4"/>
                    <w:spacing w:after="0"/>
                    <w:ind w:left="0"/>
                    <w:rPr>
                      <w:rFonts w:ascii="Times New Roman" w:eastAsia="MS Gothic" w:hAnsi="Times New Roman"/>
                      <w:sz w:val="20"/>
                      <w:szCs w:val="20"/>
                    </w:rPr>
                  </w:pPr>
                </w:p>
              </w:tc>
              <w:tc>
                <w:tcPr>
                  <w:tcW w:w="4398" w:type="dxa"/>
                </w:tcPr>
                <w:p w:rsidR="006A4D1F" w:rsidRPr="000C7491" w:rsidRDefault="00474338" w:rsidP="006A4D1F">
                  <w:pPr>
                    <w:pStyle w:val="a4"/>
                    <w:spacing w:after="0"/>
                    <w:ind w:left="0"/>
                    <w:rPr>
                      <w:rFonts w:ascii="Times New Roman" w:eastAsia="MS Gothic" w:hAnsi="Times New Roman"/>
                      <w:b/>
                      <w:i/>
                      <w:sz w:val="20"/>
                      <w:szCs w:val="20"/>
                    </w:rPr>
                  </w:pPr>
                  <w:sdt>
                    <w:sdtPr>
                      <w:rPr>
                        <w:rFonts w:ascii="Times New Roman" w:eastAsia="MS Gothic" w:hAnsi="Times New Roman"/>
                        <w:b/>
                        <w:i/>
                        <w:sz w:val="20"/>
                        <w:szCs w:val="20"/>
                      </w:rPr>
                      <w:id w:val="1852602510"/>
                      <w:placeholder>
                        <w:docPart w:val="AE78B25BC5F84B569E9A50794780A991"/>
                      </w:placeholder>
                      <w:comboBox>
                        <w:listItem w:displayText="-" w:value="-"/>
                        <w:listItem w:displayText="с правом подачи любых поручений, предусмотренных ПО QUIK" w:value="с правом подачи любых поручений, предусмотренных ПО QUIK"/>
                        <w:listItem w:displayText="просмотровый режим (без права подачи поручений)" w:value="просмотровый режим (без права подачи поручений)"/>
                      </w:comboBox>
                    </w:sdtPr>
                    <w:sdtEndPr/>
                    <w:sdtContent>
                      <w:r w:rsidR="006A4D1F" w:rsidRPr="000C7491">
                        <w:rPr>
                          <w:rFonts w:ascii="Times New Roman" w:eastAsia="MS Gothic" w:hAnsi="Times New Roman"/>
                          <w:b/>
                          <w:i/>
                          <w:sz w:val="20"/>
                          <w:szCs w:val="20"/>
                        </w:rPr>
                        <w:t>---</w:t>
                      </w:r>
                    </w:sdtContent>
                  </w:sdt>
                </w:p>
              </w:tc>
            </w:tr>
          </w:tbl>
          <w:p w:rsidR="006A4D1F" w:rsidRPr="000C7491" w:rsidRDefault="006A4D1F" w:rsidP="006A4D1F">
            <w:pPr>
              <w:pStyle w:val="a4"/>
              <w:numPr>
                <w:ilvl w:val="0"/>
                <w:numId w:val="16"/>
              </w:numPr>
              <w:tabs>
                <w:tab w:val="left" w:pos="709"/>
              </w:tabs>
              <w:spacing w:before="120" w:after="120" w:line="240" w:lineRule="auto"/>
              <w:contextualSpacing w:val="0"/>
              <w:jc w:val="both"/>
              <w:rPr>
                <w:rFonts w:ascii="Times New Roman" w:eastAsia="MS Gothic" w:hAnsi="Times New Roman"/>
                <w:sz w:val="20"/>
                <w:szCs w:val="20"/>
              </w:rPr>
            </w:pPr>
            <w:r w:rsidRPr="000C7491">
              <w:rPr>
                <w:rFonts w:ascii="Times New Roman" w:eastAsia="MS Gothic" w:hAnsi="Times New Roman"/>
                <w:sz w:val="20"/>
                <w:szCs w:val="20"/>
              </w:rPr>
              <w:t xml:space="preserve">Объем полномочий определяется уставом либо доверенностью, при этом вид учетной записи «просмотровый режим (без права подачи поручений)» исключает возможность подачи каких-либо поручений через программное обеспечение Рабочее место </w:t>
            </w:r>
            <w:r w:rsidRPr="000C7491">
              <w:rPr>
                <w:rFonts w:ascii="Times New Roman" w:eastAsia="MS Gothic" w:hAnsi="Times New Roman"/>
                <w:sz w:val="20"/>
                <w:szCs w:val="20"/>
                <w:lang w:val="en-US"/>
              </w:rPr>
              <w:t>QUIK</w:t>
            </w:r>
            <w:r w:rsidRPr="000C7491">
              <w:rPr>
                <w:rFonts w:ascii="Times New Roman" w:eastAsia="MS Gothic" w:hAnsi="Times New Roman"/>
                <w:sz w:val="20"/>
                <w:szCs w:val="20"/>
              </w:rPr>
              <w:t xml:space="preserve"> вне зависимости от наличия соответствующих полномочий в представленных документах;</w:t>
            </w:r>
          </w:p>
          <w:p w:rsidR="006A4D1F" w:rsidRPr="000C7491" w:rsidRDefault="006A4D1F" w:rsidP="006A4D1F">
            <w:pPr>
              <w:pStyle w:val="a4"/>
              <w:numPr>
                <w:ilvl w:val="0"/>
                <w:numId w:val="16"/>
              </w:numPr>
              <w:tabs>
                <w:tab w:val="left" w:pos="709"/>
              </w:tabs>
              <w:spacing w:before="120" w:after="120" w:line="240" w:lineRule="auto"/>
              <w:contextualSpacing w:val="0"/>
              <w:jc w:val="both"/>
              <w:rPr>
                <w:rFonts w:ascii="Times New Roman" w:eastAsia="MS Gothic" w:hAnsi="Times New Roman"/>
                <w:sz w:val="20"/>
                <w:szCs w:val="20"/>
              </w:rPr>
            </w:pPr>
            <w:r w:rsidRPr="000C7491">
              <w:rPr>
                <w:rFonts w:ascii="Times New Roman" w:eastAsia="MS Gothic" w:hAnsi="Times New Roman"/>
                <w:sz w:val="20"/>
                <w:szCs w:val="20"/>
              </w:rPr>
              <w:t>На каждого из указанных в настоящем пункте физических лиц должна быть представлена (1) анкета физического лица, подписанная самим физическим лицом, и (2) копия основного документа, удостоверяющего его личность;</w:t>
            </w:r>
          </w:p>
        </w:tc>
      </w:tr>
    </w:tbl>
    <w:p w:rsidR="006A4D1F" w:rsidRDefault="006A4D1F" w:rsidP="006A4D1F">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0C7491" w:rsidRPr="00B77346" w:rsidRDefault="006A4D1F" w:rsidP="00F46665">
      <w:pPr>
        <w:pStyle w:val="a4"/>
        <w:numPr>
          <w:ilvl w:val="0"/>
          <w:numId w:val="21"/>
        </w:numPr>
        <w:tabs>
          <w:tab w:val="left" w:pos="1134"/>
        </w:tabs>
        <w:autoSpaceDE w:val="0"/>
        <w:autoSpaceDN w:val="0"/>
        <w:adjustRightInd w:val="0"/>
        <w:spacing w:after="0" w:line="240" w:lineRule="auto"/>
        <w:jc w:val="both"/>
        <w:rPr>
          <w:rFonts w:ascii="Times New Roman" w:eastAsia="MS Gothic" w:hAnsi="Times New Roman"/>
          <w:b/>
          <w:sz w:val="20"/>
          <w:szCs w:val="20"/>
        </w:rPr>
      </w:pPr>
      <w:r w:rsidRPr="00B77346">
        <w:rPr>
          <w:rFonts w:ascii="Times New Roman" w:eastAsia="MS Gothic" w:hAnsi="Times New Roman"/>
          <w:b/>
          <w:sz w:val="20"/>
          <w:szCs w:val="20"/>
        </w:rPr>
        <w:t>УВЕДОМЛЕНИ</w:t>
      </w:r>
      <w:r w:rsidR="000C7491" w:rsidRPr="00B77346">
        <w:rPr>
          <w:rFonts w:ascii="Times New Roman" w:eastAsia="MS Gothic" w:hAnsi="Times New Roman"/>
          <w:b/>
          <w:sz w:val="20"/>
          <w:szCs w:val="20"/>
        </w:rPr>
        <w:t>Я</w:t>
      </w:r>
    </w:p>
    <w:tbl>
      <w:tblPr>
        <w:tblStyle w:val="af6"/>
        <w:tblW w:w="0" w:type="auto"/>
        <w:tblInd w:w="-5" w:type="dxa"/>
        <w:tblLook w:val="04A0" w:firstRow="1" w:lastRow="0" w:firstColumn="1" w:lastColumn="0" w:noHBand="0" w:noVBand="1"/>
      </w:tblPr>
      <w:tblGrid>
        <w:gridCol w:w="9917"/>
      </w:tblGrid>
      <w:tr w:rsidR="000C7491" w:rsidTr="002C504E">
        <w:tc>
          <w:tcPr>
            <w:tcW w:w="9917" w:type="dxa"/>
          </w:tcPr>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об общих рисках, связанных с осуществлением операций на рынке ценных бумаг</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I. Системный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II. Рыночный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Следует специально обратить внимание на следующие рыночные риски: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 Валютный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2. Процентный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3. Риск банкротства эмитента акций</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Проявляется в резком падении цены акций акционерного общества, признанного несостоятельным, или в предвидении такой несостоятельности.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III. Риск ликвидности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IV. Кредитный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 числу кредитных рисков относятся следующие риски: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 Риск дефолта по облигациям и иным долговым ценным бумагам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2. Риск контрагента</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брокером,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3. Риск неисполнения обязательств перед вами вашим брокером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Риск неисполнения вашим брокером некоторых обязательств перед вами является видом риска контрагента. 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ваши средства,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V. Правовой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VI. Операционный риск</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совершением маржинальных и непокрытых сделок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 настоящей Декларации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менее данные сделки подходят не всем клиентам, поскольку сопряжены с дополнительными рисками и требуют оценки того, готовы ли вы их нести.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Рыночный риск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 ликвидности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sz w:val="20"/>
                <w:szCs w:val="20"/>
              </w:rPr>
            </w:pPr>
            <w:r w:rsidRPr="000C7491">
              <w:rPr>
                <w:rFonts w:ascii="Times New Roman" w:eastAsia="MS Gothic" w:hAnsi="Times New Roman"/>
                <w:b/>
                <w:sz w:val="20"/>
                <w:szCs w:val="20"/>
              </w:rPr>
              <w:t>Декларация о рисках, связанных с производными финансовыми инструментами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 настоящей Декларации —предоставить вам информацию об основных рисках, связанных с производными финансовыми инструментами.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Рыночный риск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 ликвидности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приобретением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Системные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RATINGS, однако следует иметь в виду, что рейтинги являются лишь ориентирами и могут в конкретный момент не соответствовать реальной ситуации.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Правовые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III</w:t>
            </w:r>
            <w:r w:rsidRPr="000C7491">
              <w:rPr>
                <w:rFonts w:ascii="Times New Roman" w:hAnsi="Times New Roman"/>
                <w:sz w:val="20"/>
                <w:szCs w:val="20"/>
              </w:rPr>
              <w:t>. Раскрытие информации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w:t>
            </w:r>
            <w:r w:rsidR="00191808" w:rsidRPr="000C7491">
              <w:rPr>
                <w:rFonts w:ascii="Times New Roman" w:hAnsi="Times New Roman"/>
                <w:sz w:val="20"/>
                <w:szCs w:val="20"/>
              </w:rPr>
              <w:t>тех же иностранных слов</w:t>
            </w:r>
            <w:r w:rsidRPr="000C7491">
              <w:rPr>
                <w:rFonts w:ascii="Times New Roman" w:hAnsi="Times New Roman"/>
                <w:sz w:val="20"/>
                <w:szCs w:val="20"/>
              </w:rPr>
              <w:t xml:space="preserve"> и фраз или отсутствием общепринятого русского эквивалента.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приобретением иностранных облигаций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Настоящая Декларация раскрывает отдельные специальные риски, связанные с инвестициями в иностранные облигации. Общие риски, связанные с операциями с иностранными ценными бумагами, изложены в Декларации о рисках, связанных с приобретением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Риски, связанные с участием в корпоративных действиях</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принятии решения об инвестировании денежных средств в иностранные облигации необходимо учитывать, что российские депозитарии, в которых может осуществляться учет прав на иностранные облигации, не могут гарантировать потенциальным инвесторам возможность участия во всех корпоративных действиях иностранных эмитентов облигаций и собраниях владельцев облигаций, поскольку реализация указанных прав зависит от особенностей правового регулирования страны регистрации эмитента и/или страны регистрации иностранной биржи, на которой обращаются иностранные облигации, а также особенностей порядка учета прав в международных центральных депозитариях.</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Участие в добровольных корпоративных действиях возможно только в случае, если сумма номиналов принадлежащих инвестору иностранных облигаций равна минимальной деноминации или превышает ее. Вместе с тем, эмитентом могут быть установлены условия участия в добровольных корпоративных действиях, не предполагающих наличия каких-либо ограничений по деноминации.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Аналогичные риски могут возникнуть при участии в обязательных корпоративных действиях.</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Потенциальные инвесторы должны внимательно ознакомиться с ограничениями, установленными в проспекте иностранных облигаций относительно участия в добровольных/обязательных корпоративных действиях и принять решение об инвестировании денежных средств в конкретные иностранные облигации с учетом данных ограничений и собственных целей инвестирования.</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Риски, связанные с установлением в эмиссионных документах минимальной деноминации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Проспект иностранных облигаций может содержать нормы о минимальной деноминации, устанавливающие ограничение на обращение ценных бумаг в странах ЕС (минимальный торговый лот, доступный к продаже). Проспектом иностранных облигаций также могут быть установлены ограничения по торговле в размере деноминации (минимальный торговый лот, доступный к продаже) в других странах, в которых ценные бумаги эмитента имеют листинг.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Наличие в проспекте иностранных облигаций минимальной деноминации означает, что международные центральные депозитарии смогут учесть торгово-расчетные операции только с объемом ценных бумаг, превышающим или равным деноминации (например, USD 100 000) и кратным шагу деноминации (например, USD 1000). Соответственно, наличие в проспекте иностранных облигаций таких ограничений может повлечь риски, связанные с отсутствием у инвестора возможности перевести иностранные ценные бумаги в Clearstream и/или Euroclear.</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Для инвесторов, которые приобрели в Российской Федерации пакет иностранных облигаций общим объемом, который меньше установленного размера минимальной деноминации, и которые намерены вывести облигации для расчетов в Clesrstream и/или Euroclear, наличие в проспекте иностранных облигаций требований к минимальной деноминации, может повлечь риски, связанные с отказом Clesrstream и/или Euroclear осуществить операцию, и необходимость приобрести дополнительно к своему пакету облигации для выполнения требования к минимальной деноминации (данные риски отсутствуют в случае расчетов в российском депозитарии).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III</w:t>
            </w:r>
            <w:r w:rsidRPr="000C7491">
              <w:rPr>
                <w:rFonts w:ascii="Times New Roman" w:hAnsi="Times New Roman"/>
                <w:sz w:val="20"/>
                <w:szCs w:val="20"/>
              </w:rPr>
              <w:t>. Правовые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При приобретении иностранных облигаций необходимо иметь в виду, что они не всегда являются аналогами российских облигаций. В любом случае, предоставляемые по ним права и правила их осуществления могут существенно отличаться от прав по российским облигациям, в частности, иностранная облигация может не предусматривать право ее владельца на получение от эмитента облигации в предусмотренный в ней срок ее </w:t>
            </w:r>
            <w:r w:rsidRPr="000C7491">
              <w:rPr>
                <w:rFonts w:ascii="Times New Roman" w:hAnsi="Times New Roman"/>
                <w:sz w:val="20"/>
                <w:szCs w:val="20"/>
              </w:rPr>
              <w:lastRenderedPageBreak/>
              <w:t>полной номинальной стоимости или иного имущественного эквивалента при наступлении событий или условий, предусмотренных эмиссионными документами.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IV</w:t>
            </w:r>
            <w:r w:rsidRPr="000C7491">
              <w:rPr>
                <w:rFonts w:ascii="Times New Roman" w:hAnsi="Times New Roman"/>
                <w:sz w:val="20"/>
                <w:szCs w:val="20"/>
              </w:rPr>
              <w:t>. Геополитические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 принятии инвестиционных решений потенциальные инвестор должен внимательно ознакомиться с геополитическими рисками, в т.ч. с наличием санкций в отношении эмитента (лица, выдавшего иностранные облигации), заемщика, кредитной организации, в которой открыт счет, депозитария, в котором будут учитываться права на иностранные облигации. В случае наличия каких-либо законодательных и/или регулятивных ограничений и/или санкций в отношении указанных выше организаций, а также самого инвестора, инвестор несет риски, связанные с неполучением выплаты номинальной стоимости и купонного дохода по иностранным облигациям в валюте номинальной стоимости. В случае отсутствия у лица, получающего выплату по иностранным облигациям, счета, позволяющего зачислить денежные средства в иностранной валюте, инвестор несет риск получения сумм по иностранным облигациям в рублях Российской Федерации по курсу, установленному кредитной организацией в соответствии с внутренними правилами такой кредитной организации.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Приобретатель иностранных облигаций самостоятельно оценивает и несет риск того, что законодательство Российской Федерации может содержать запрет на инвестирование денежных средств в определенные иностранные облигации.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Приобретатель иностранных облигаций самостоятельно оценивает и несет риск того, что личный закон депозитария, в котором ему открыт счет депо, предназначенный для учета прав на иностранные облигации или личный закон депозитария/международного центрального депозитария, по счету депо которого должна пройти транзакция иностранных облигаций, запрещает данному депозитарию содействовать финансированию в иностранные облигации эмитента.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Приобретатель иностранных облигаций самостоятельно оценивает и несет риск того, что личный закон кредитной организации, в которой приобретатель открывает валютный банковский счет в иностранной валюте или личный закон кредитной организации, по корреспондентскому счету которой должны пройти выплаты доходов по иностранным облигациям в денежной форме и иные причитающиеся владельцам таких ценных бумаг денежные выплаты, запрещает такой кредитной организации участвовать в переводе средств, предназначенных для указанных выплат по иностранным облигациям.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Перечень рисков, приведенный в настоящей Декларации, не является исчерпывающим.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w:t>
            </w:r>
            <w:r w:rsidRPr="000C7491">
              <w:rPr>
                <w:rFonts w:ascii="Times New Roman" w:hAnsi="Times New Roman"/>
                <w:sz w:val="20"/>
                <w:szCs w:val="20"/>
              </w:rPr>
              <w:t>. Риски, связанные производными финансовыми инструментами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1. Рыночный (ценовой) риск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2. Риск ликвидности </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При этом трудности с закрытием позиций и потери в цене могут привести к увеличению убытков по сравнению с обычными сделками. </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3. Ограничение распоряжения средствами, являющимися обеспечением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 принудительного закрытия позиции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lang w:val="en-US"/>
              </w:rPr>
              <w:t>III</w:t>
            </w:r>
            <w:r w:rsidRPr="000C7491">
              <w:rPr>
                <w:rFonts w:ascii="Times New Roman" w:hAnsi="Times New Roman"/>
                <w:sz w:val="20"/>
                <w:szCs w:val="20"/>
              </w:rPr>
              <w:t>. Риски, обусловленные иностранным происхождением базисного актива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 Системные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w:t>
            </w:r>
            <w:r w:rsidRPr="000C7491">
              <w:rPr>
                <w:rFonts w:ascii="Times New Roman" w:hAnsi="Times New Roman"/>
                <w:sz w:val="20"/>
                <w:szCs w:val="20"/>
              </w:rPr>
              <w:lastRenderedPageBreak/>
              <w:t>«суверенный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RATINGS, однако следует иметь в виду, что рейтинги являются лишь ориентирами и могут в конкретный момент не соответствовать реальной ситуации.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2. Правовые риски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3. Раскрытие информации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Декларация о рисках, связанных с приобретением векселей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Настоящая Декларация раскрывает специальные риски, связанные с приобретением векселей. Обращаем ваше внимание на то, что настоящая Декларация не раскрывает информацию обо всех рисках, связанных с приобретением векселей вследствие разнообразия возникающих ситуаций.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Законодательством о переводном и простом векселе установлены требования к содержанию векселя, порядку его акцепта, порядку его передачи, порядку и сроку платежа и др. Учитывая, что несоблюдение требований к содержанию векселя, к его обороту может значительно повлиять на возможность реализации прав, закрепленных векселем, либо даже сделать невозможным реализацию таких прав, вам необходимо убедится в том, что приобретаемый вексель соответствует вексельному законодательству, а ваше право будет основано на непрерывном ряде индоссаментов.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Вексель является документарной ценной бумагой и должен быть составлен только на бумаге (бумажном носителе), а реализация прав по векселю связана с наличием у векселедержателя самого векселя. Несмотря на то, что гражданским законодательством установлен порядок восстановления прав по документарной ценной бумаге, векселедержатель несет риск утраты векселя и, как следствие, невозможности реализации закрепленного им права.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Векселя передаются посредством проставления специальной передаточной надписи – индоссамента, а права векселедержателя основаны на непрерывном ряде индоссаментов. По общему правилу, индоссант (лицо, передавшее вексель посредством индоссамента) отвечает за акцепт и за платеж, а все индоссировавшие вексель (наряду с векселедателем, акцептантом или вексельным поручителем (поручителями)) солидарно обязаны перед </w:t>
            </w:r>
            <w:r w:rsidRPr="000C7491">
              <w:rPr>
                <w:rFonts w:ascii="Times New Roman" w:hAnsi="Times New Roman"/>
                <w:sz w:val="20"/>
                <w:szCs w:val="20"/>
              </w:rPr>
              <w:lastRenderedPageBreak/>
              <w:t>векселедержателем, при этом векселедержатель имеет право предъявления иска ко всем этим лицам, к каждому в отдельности и ко всем вместе, а последовательность, в которой эти лица обязывались по векселю, во внимание не берется. Поэтому вам необходимо оценить приемлемость вашей ответственности по векселю.</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Вексельное законодательство, устанавливая солидарную ответственность лиц, выдавших, акцептовавших, индоссировавших вексель или поставивших на нем аваль (вексельное поручительство), связывает солидарную ответственность таких лиц с соблюдением векселедержателем сроков и процедуры протеста в неакцепте или неплатеже, уведомлением векселедателя и своего индоссанта, что связно с дополнительными расходами, поэтому вам необходимо оценить приемлемость дополнительных издержек.</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Вексель не является эмиссионной ценной бумагой, поэтому лицо, выдавшее вексель (векселедатель) не обязано раскрывать данных о себе, о своем финансовом положении, выдача векселя не сопровождается регистрацией со стороны контролирующих органов, поэтому приобретение векселя связано с наличием кредитного риска (риска неисполнения обязательств лицами, обязанными по векселю). Таким образом, при выборе векселя Вам необходимо убедиться в том, что векселедатель либо акцептант являются платежеспособными.</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151955" w:rsidRDefault="00151955"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Pr>
                <w:rFonts w:ascii="Times New Roman" w:eastAsia="MS Gothic" w:hAnsi="Times New Roman"/>
                <w:b/>
                <w:sz w:val="20"/>
                <w:szCs w:val="20"/>
              </w:rPr>
              <w:t>Декларация о рисках, связанных с совершением сделок через иностранных брокеров</w:t>
            </w:r>
          </w:p>
          <w:p w:rsidR="00151955" w:rsidRPr="00151955" w:rsidRDefault="00151955" w:rsidP="00151955">
            <w:pPr>
              <w:autoSpaceDE w:val="0"/>
              <w:autoSpaceDN w:val="0"/>
              <w:adjustRightInd w:val="0"/>
              <w:spacing w:before="120" w:after="120" w:line="240" w:lineRule="auto"/>
              <w:ind w:left="34"/>
              <w:mirrorIndents/>
              <w:jc w:val="both"/>
              <w:rPr>
                <w:rFonts w:ascii="Times New Roman" w:eastAsia="MS Gothic" w:hAnsi="Times New Roman"/>
                <w:b/>
                <w:sz w:val="20"/>
                <w:szCs w:val="20"/>
              </w:rPr>
            </w:pPr>
            <w:r w:rsidRPr="00151955">
              <w:rPr>
                <w:rFonts w:ascii="Times New Roman" w:hAnsi="Times New Roman"/>
                <w:sz w:val="20"/>
                <w:szCs w:val="20"/>
              </w:rPr>
              <w:t>Уведомляем Вас, что в соответствии с договорами, заключаемыми с иностранными брокерами, предусматривается совместная (субсидиарная) ответственность ООО «Московские партнеры» и клиентов ООО «Московские партнеры» в отношении всех обязанностей и обязательств, возникающих из сделок, совершенных в соответствии с вашими инструкциями</w:t>
            </w:r>
            <w:r>
              <w:rPr>
                <w:rFonts w:ascii="Times New Roman" w:hAnsi="Times New Roman"/>
                <w:sz w:val="20"/>
                <w:szCs w:val="20"/>
              </w:rPr>
              <w:t>.</w:t>
            </w:r>
          </w:p>
          <w:p w:rsidR="00151955" w:rsidRPr="000C7491" w:rsidRDefault="00151955" w:rsidP="00151955">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151955" w:rsidRDefault="00151955"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Pr>
                <w:rFonts w:ascii="Times New Roman" w:eastAsia="MS Gothic" w:hAnsi="Times New Roman"/>
                <w:b/>
                <w:sz w:val="20"/>
                <w:szCs w:val="20"/>
              </w:rPr>
              <w:t>Декларация о рисках, связанных с приобретением иностранных финансовых инструментов, не квалифицированных в Российской Федерации в качестве ценных бумаг, в том числе стратегических сертификатов и иных структурных продуктов</w:t>
            </w:r>
          </w:p>
          <w:p w:rsidR="000448CE" w:rsidRPr="000448CE" w:rsidRDefault="000448CE" w:rsidP="000448CE">
            <w:pPr>
              <w:autoSpaceDE w:val="0"/>
              <w:autoSpaceDN w:val="0"/>
              <w:adjustRightInd w:val="0"/>
              <w:spacing w:after="0" w:line="240" w:lineRule="auto"/>
              <w:jc w:val="both"/>
              <w:rPr>
                <w:rFonts w:ascii="Times New Roman" w:hAnsi="Times New Roman"/>
                <w:sz w:val="20"/>
                <w:szCs w:val="20"/>
              </w:rPr>
            </w:pPr>
            <w:r w:rsidRPr="000448CE">
              <w:rPr>
                <w:rFonts w:ascii="Times New Roman" w:hAnsi="Times New Roman"/>
                <w:sz w:val="20"/>
                <w:szCs w:val="20"/>
              </w:rPr>
              <w:t>Настоящая Декларация раскрывает специальные риски, связанные с приобретением стратегических сертификатов, которые являются сертификатами следования и дают возможность участвовать в реализации инвестиционной стратегии, реализуемой с помощью дискреционного, условного индекса, который призван отражать динамику стоимости реального портфеля, составленного в соответствии с этой стратегией. Показатель индекса и, следовательно, динамика стоимости Стратегических сертификатов отражает динамику стоимости, которая была бы у реального портфеля, если бы он управлялся на основе инвестиционной стратегии, с учетом сборов и издержек.</w:t>
            </w:r>
          </w:p>
          <w:p w:rsidR="000448CE" w:rsidRPr="000448CE" w:rsidRDefault="000448CE" w:rsidP="000448CE">
            <w:pPr>
              <w:autoSpaceDE w:val="0"/>
              <w:autoSpaceDN w:val="0"/>
              <w:adjustRightInd w:val="0"/>
              <w:spacing w:before="120" w:after="120" w:line="240" w:lineRule="auto"/>
              <w:ind w:left="34"/>
              <w:mirrorIndents/>
              <w:jc w:val="both"/>
              <w:rPr>
                <w:rFonts w:ascii="Times New Roman" w:eastAsia="MS Gothic" w:hAnsi="Times New Roman"/>
                <w:b/>
                <w:sz w:val="20"/>
                <w:szCs w:val="20"/>
              </w:rPr>
            </w:pPr>
            <w:r w:rsidRPr="000448CE">
              <w:rPr>
                <w:rFonts w:ascii="Times New Roman" w:hAnsi="Times New Roman"/>
                <w:sz w:val="20"/>
                <w:szCs w:val="20"/>
              </w:rPr>
              <w:t>Риски инвестиций в стратегические сертификаты и потенциальная прибыль от этих инвестиций сопоставимы с рисками и потенциальной прибылью от инвестиций в реальный портфель, состоящий из соответствующих компонентов условного индекса. Но при этом инвесторы не получают (совместно или любым другим способом) никаких договорных или имущественных прав в отношении какого-либо пула активов, в отношении портфеля виртуального индекса или какого-либо компонента этого индекса или стратегии. Никакие претензии на индекс или его компоненты не могут быть предъявлены в какой-либо момент времени, например, при погашении, исполнении или прекращении действия Стратегических сертификатов, ни в случае неисполнения Эмитентом своих обязательств. Кроме того, инвесторы не имеют права запрашивать прямые инвестиции в компоненты индекса или другие инвестиционные продукты, которые следят или копируют динамику индекса.</w:t>
            </w:r>
          </w:p>
          <w:p w:rsidR="00151955" w:rsidRPr="000C7491" w:rsidRDefault="00151955" w:rsidP="00151955">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Уведомление об общем характере и (или) источниках конфликта интересов</w:t>
            </w:r>
          </w:p>
          <w:p w:rsidR="000C7491" w:rsidRPr="000C7491" w:rsidRDefault="000C7491" w:rsidP="000C7491">
            <w:pPr>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Настоящее уведомление создано с целью информирования Клиента об общем характере и (или) источниках конфликта интересов.</w:t>
            </w:r>
          </w:p>
          <w:p w:rsidR="000C7491" w:rsidRPr="000C7491" w:rsidRDefault="000C7491" w:rsidP="000C7491">
            <w:pPr>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В настоящем уведомлении под общим характером конфликта интересов понимается возникающее при осуществлении профессиональной деятельности на рынке ценных бумаг противоречие между имущественными </w:t>
            </w:r>
            <w:r w:rsidRPr="000C7491">
              <w:rPr>
                <w:rFonts w:ascii="Times New Roman" w:hAnsi="Times New Roman"/>
                <w:sz w:val="20"/>
                <w:szCs w:val="20"/>
              </w:rPr>
              <w:lastRenderedPageBreak/>
              <w:t>и иными интересами Компании и/или членов ее органов управления, и/или ее участников, и/или ее работников, осуществляющих свою деятельность на основании трудового или гражданско-правового договора или имеющих доступ к служебной или инсайдерской информации на иных законных основаниях, и Клиента, либо между интересами нескольких Клиентов Компании, либо при совмещении видов профессиональной деятельности на рынке ценных бумаг, в результате которого действия или бездействия Компании и/или членов ее органов управления и/или ее участников и/или ее работников могут повлечь причинение убытков Клиенту и/или иные неблагоприятные последствия для Клиента.</w:t>
            </w:r>
          </w:p>
          <w:p w:rsidR="000C7491" w:rsidRPr="000C7491" w:rsidRDefault="000C7491" w:rsidP="000C7491">
            <w:pPr>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целях исключения конфликта интересов Компания принимает комплекс мер (в том числе меры по выявлению и контролю конфликта интересов, а также предотвращению его последствий), руководствуясь при осуществлении профессиональной деятельности принципом приоритета интересов Клиента перед собственными интересами. Вместе с тем, поскольку риск возникновения конфликта интересов не может быть исключен полностью, Компания информирует Клиента о следующих источниках конфликта интересов: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наличие у Компании, работников Компании, контролирующих или подконтрольных лиц Компании собственного интереса в совершении сделок с ценными бумагами/финансовыми инструментами /иными активами, изменении рыночной цены ценных бумаг /финансовых инструментов /иных активов;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участие Компании в сделке с разных сторон в интересах разных Клиентов;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наличие у Компании интереса в приобретении Клиентами определенных ценных бумаг, в случаях выполнения Компанией функций андеррайтера размещаемых ценных бумаг и (или) при ином участии Компании в размещении ценных бумаг;</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наличие у Компании интереса в приобретении, обмене или погашении Клиентами определенных паев паевых инвестиционных фондов, в случаях выполнения Компанией функций агента по выдаче, погашению и обмену инвестиционных паев;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несовпадение интересов Компании, работников аналитического подразделения Компании и Клиента (-ов) в процессе подготовки работниками Компании инвестиционно-аналитических исследований;</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нарушение принципа независимости аналитического подразделения Компании и принципов организации взаимодействия работников различных подразделений Компании (принципа «китайских стен»);</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совмещение Компанией нескольких видов профессиональной деятельности на рынке ценных бумаг;</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ценных бумаг, сделок с ними, если Компания владеет такими же ценными бумагами или намерена совершить с ними сделку;</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w:t>
            </w:r>
            <w:r w:rsidR="0009334B">
              <w:rPr>
                <w:rFonts w:ascii="Times New Roman" w:eastAsia="MS Gothic" w:hAnsi="Times New Roman"/>
                <w:sz w:val="20"/>
                <w:szCs w:val="20"/>
              </w:rPr>
              <w:t xml:space="preserve">ащей описание ценных бумаг, при </w:t>
            </w:r>
            <w:r w:rsidRPr="000C7491">
              <w:rPr>
                <w:rFonts w:ascii="Times New Roman" w:eastAsia="MS Gothic" w:hAnsi="Times New Roman"/>
                <w:sz w:val="20"/>
                <w:szCs w:val="20"/>
              </w:rPr>
              <w:t>условии</w:t>
            </w:r>
            <w:r w:rsidR="0009334B">
              <w:rPr>
                <w:rFonts w:ascii="Times New Roman" w:eastAsia="MS Gothic" w:hAnsi="Times New Roman"/>
                <w:sz w:val="20"/>
                <w:szCs w:val="20"/>
              </w:rPr>
              <w:t>,</w:t>
            </w:r>
            <w:r w:rsidRPr="000C7491">
              <w:rPr>
                <w:rFonts w:ascii="Times New Roman" w:eastAsia="MS Gothic" w:hAnsi="Times New Roman"/>
                <w:sz w:val="20"/>
                <w:szCs w:val="20"/>
              </w:rPr>
              <w:t xml:space="preserve"> что Компания является стороной договора, являющегося производным финансовым инструментом, базисным активом которого являются такие ценные бумаги;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сделок с ценными бумагами, контрагентами Клиента по которым будут являться другие клиенты Компании или если указанные сделки будут совершаться при участии других клиентов Компании;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сделок с финансовыми инструментами, если в случае исполнения указанной рекомендации сделка с финансовыми инструментами будет совершена при участии Компании;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заключение Компанией договоров с третьими лицами, предусматривающих выплату вознаграждений за предоставление клиентам индивидуальных инвестиционных рекомендаций;</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заключение Компанией договоров с третьими лицами, предусматривающих выплату вознаграждения Компании, и (или) предоставление иных имущественных благ, и (или) освобождение от обязанности совершить определенные действия, в случае совершения клиентами и (или) за их счет действий, предусмотренных индивидуальными инвестиционными рекомендациями;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ценных бумаг, сделок с ценными бумагами, эмитентом или обязанным лицом по которым является Компания или его аффилированное лицо;</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предоставление индивидуальной инвестиционной рекомендации, содержащей описание сделок с ценными бумагами, контрагентами Клиента по которым будут являться аффилированные лица Компании, или если указанные сделки будут совершаться при участии аффилированных лиц Компании.</w:t>
            </w:r>
          </w:p>
          <w:p w:rsidR="000C7491" w:rsidRPr="000C7491" w:rsidRDefault="000C7491" w:rsidP="000C7491">
            <w:pPr>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Клиенту при принятии инвестиционных и иных решений в процессе взаимодействия с Компанией следует исходить из возможного наличия перечисленных обстоятельств, самостоятельно обращаться в Компанию за предоставлением дополнительных пояснений применительно к конкретной ситуации, в случае наличия у него сомнений и неразрешенных вопросов.</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hAnsi="Times New Roman"/>
                <w:sz w:val="20"/>
                <w:szCs w:val="20"/>
              </w:rPr>
            </w:pPr>
            <w:r w:rsidRPr="000C7491">
              <w:rPr>
                <w:rFonts w:ascii="Times New Roman" w:hAnsi="Times New Roman"/>
                <w:sz w:val="20"/>
                <w:szCs w:val="20"/>
              </w:rPr>
              <w:lastRenderedPageBreak/>
              <w:t>Компания уведомляет Клиента, что денежные средства, зачисляемые на специальный брокерский счет (счета),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hAnsi="Times New Roman"/>
                <w:sz w:val="20"/>
                <w:szCs w:val="20"/>
              </w:rPr>
            </w:pPr>
            <w:r w:rsidRPr="000C7491">
              <w:rPr>
                <w:rFonts w:ascii="Times New Roman" w:hAnsi="Times New Roman"/>
                <w:sz w:val="20"/>
                <w:szCs w:val="20"/>
              </w:rPr>
              <w:t>Компания уведомляет Клиента о праве на получение по его запросу информации о суммах платежей (порядке определения сумм платежей), которые Клиент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Компании и порядка его уплаты.</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hAnsi="Times New Roman"/>
                <w:sz w:val="20"/>
                <w:szCs w:val="20"/>
              </w:rPr>
            </w:pPr>
            <w:r w:rsidRPr="000C7491">
              <w:rPr>
                <w:rFonts w:ascii="Times New Roman" w:hAnsi="Times New Roman"/>
                <w:sz w:val="20"/>
                <w:szCs w:val="20"/>
              </w:rPr>
              <w:t>Компания уведомляет Клиента о праве на получение по его запросу следующей информации (документов), связных с оказанием Компанией услуги по приобретению паев паевых инвестиционных фондов: (i) инвестиционную декларацию паевого инвестиционного фонда, (ii) 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 (iii) 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 (iv) порядок и сроки выплаты денежной компенсации в связи с погашением инвестиционных паев.</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hAnsi="Times New Roman"/>
                <w:sz w:val="20"/>
                <w:szCs w:val="20"/>
              </w:rPr>
            </w:pPr>
            <w:r w:rsidRPr="000C7491">
              <w:rPr>
                <w:rFonts w:ascii="Times New Roman" w:hAnsi="Times New Roman"/>
                <w:sz w:val="20"/>
                <w:szCs w:val="20"/>
              </w:rPr>
              <w:t xml:space="preserve">Компания уведомляет Клиента о праве на получение по его запросу следующей информации (документов), связных с оказанием Компанией услуги по заключению договоров, являющихся производными финансовыми инструментами, помимо информации, указанной в пункте 2.1 </w:t>
            </w:r>
            <w:r w:rsidR="0009334B" w:rsidRPr="0009334B">
              <w:rPr>
                <w:rFonts w:ascii="Times New Roman" w:hAnsi="Times New Roman"/>
                <w:sz w:val="20"/>
                <w:szCs w:val="20"/>
              </w:rPr>
              <w:t>Базового стандарта защиты прав и интересов физических лиц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r w:rsidRPr="0009334B">
              <w:rPr>
                <w:rFonts w:ascii="Times New Roman" w:hAnsi="Times New Roman"/>
                <w:sz w:val="20"/>
                <w:szCs w:val="20"/>
              </w:rPr>
              <w:t xml:space="preserve">, </w:t>
            </w:r>
            <w:r w:rsidRPr="000C7491">
              <w:rPr>
                <w:rFonts w:ascii="Times New Roman" w:hAnsi="Times New Roman"/>
                <w:sz w:val="20"/>
                <w:szCs w:val="20"/>
              </w:rPr>
              <w:t>брокер предоставляет получателю финансовых услуг по его запросу следующую информацию (документы) о таких договорах: (i) спецификацию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 (ii) размер суммы денежных средств, которую необходимо уплатить на момент заключения договора, являющегося производным финансовым инструментом, (iii) 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Уведомление о рисках использования брокером в своих интересах денежных средств и/или ценных бумаг Клиента</w:t>
            </w:r>
          </w:p>
          <w:p w:rsidR="000C7491" w:rsidRPr="000C7491" w:rsidRDefault="000C7491" w:rsidP="000C7491">
            <w:pPr>
              <w:autoSpaceDE w:val="0"/>
              <w:autoSpaceDN w:val="0"/>
              <w:adjustRightInd w:val="0"/>
              <w:spacing w:before="120" w:after="120" w:line="240" w:lineRule="auto"/>
              <w:ind w:left="34"/>
              <w:mirrorIndents/>
              <w:jc w:val="both"/>
              <w:rPr>
                <w:rFonts w:ascii="Times New Roman" w:hAnsi="Times New Roman"/>
                <w:sz w:val="20"/>
                <w:szCs w:val="20"/>
              </w:rPr>
            </w:pPr>
            <w:r w:rsidRPr="000C7491">
              <w:rPr>
                <w:rFonts w:ascii="Times New Roman" w:hAnsi="Times New Roman"/>
                <w:sz w:val="20"/>
                <w:szCs w:val="20"/>
              </w:rPr>
              <w:t>I. Риски, связанные с использованием брокером денежных средств клиента в своих интересах</w:t>
            </w:r>
          </w:p>
          <w:p w:rsidR="000C7491" w:rsidRPr="000C7491" w:rsidRDefault="000C7491" w:rsidP="000C7491">
            <w:pPr>
              <w:autoSpaceDE w:val="0"/>
              <w:autoSpaceDN w:val="0"/>
              <w:adjustRightInd w:val="0"/>
              <w:spacing w:after="0" w:line="240" w:lineRule="auto"/>
              <w:jc w:val="both"/>
              <w:rPr>
                <w:rFonts w:ascii="Times New Roman" w:eastAsiaTheme="minorHAnsi" w:hAnsi="Times New Roman"/>
                <w:sz w:val="20"/>
                <w:szCs w:val="20"/>
              </w:rPr>
            </w:pPr>
            <w:r w:rsidRPr="000C7491">
              <w:rPr>
                <w:rFonts w:ascii="Times New Roman" w:hAnsi="Times New Roman"/>
                <w:sz w:val="20"/>
                <w:szCs w:val="20"/>
              </w:rPr>
              <w:t xml:space="preserve">Используя ваши денежные средства в своих интересах, брокер гарантирует Клиенту исполнение его поручений за счет указанных денежных средств либо их возврат по требованию Клиента </w:t>
            </w:r>
            <w:r w:rsidRPr="000C7491">
              <w:rPr>
                <w:rFonts w:ascii="Times New Roman" w:eastAsiaTheme="minorHAnsi" w:hAnsi="Times New Roman"/>
                <w:sz w:val="20"/>
                <w:szCs w:val="20"/>
              </w:rPr>
              <w:t>не позднее рабочего дня, следующего за днем получения требования Клиента о возврате денежных средств.</w:t>
            </w:r>
          </w:p>
          <w:p w:rsidR="000C7491" w:rsidRPr="000C7491" w:rsidRDefault="000C7491" w:rsidP="000C7491">
            <w:pPr>
              <w:pStyle w:val="a4"/>
              <w:tabs>
                <w:tab w:val="left" w:pos="1134"/>
              </w:tabs>
              <w:spacing w:before="120" w:after="120" w:line="240" w:lineRule="auto"/>
              <w:ind w:left="32"/>
              <w:contextualSpacing w:val="0"/>
              <w:mirrorIndents/>
              <w:jc w:val="both"/>
              <w:rPr>
                <w:rFonts w:ascii="Times New Roman" w:hAnsi="Times New Roman"/>
                <w:sz w:val="20"/>
                <w:szCs w:val="20"/>
              </w:rPr>
            </w:pPr>
            <w:r w:rsidRPr="000C7491">
              <w:rPr>
                <w:rFonts w:ascii="Times New Roman" w:hAnsi="Times New Roman"/>
                <w:sz w:val="20"/>
                <w:szCs w:val="20"/>
              </w:rPr>
              <w:t>В то же время, при использовании брокером денежных средств Клиента в собственных интересах у Клиента возникают следующие риски:</w:t>
            </w:r>
          </w:p>
          <w:p w:rsidR="000C7491" w:rsidRPr="000C7491" w:rsidRDefault="000C7491" w:rsidP="000C7491">
            <w:pPr>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риск неисполнения поручения и риск несвоевременного исполнения поручения Клиента вследствие недостачи денежных средств Клиента из-за перерасхода денежных средств на операции другого клиента как результат ошибки сотрудников брокера либо сбоя программного обеспечения;</w:t>
            </w:r>
          </w:p>
          <w:p w:rsidR="000C7491" w:rsidRPr="000C7491" w:rsidRDefault="000C7491" w:rsidP="000C7491">
            <w:pPr>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риск неплатежа по сделке, связанный с недостачей денежных средств.</w:t>
            </w:r>
          </w:p>
          <w:p w:rsidR="000C7491" w:rsidRPr="000C7491" w:rsidRDefault="000C7491" w:rsidP="000C7491">
            <w:pPr>
              <w:tabs>
                <w:tab w:val="num" w:pos="1145"/>
              </w:tabs>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в случае зачисления денежных средств Клиента на собственный банковский счет брокера, указанные выше риски могут возникнуть как из-за отсутствия на счете брокера достаточного количества денежных средств, так и из-за обращения взыскания на имущество брокера или невозможности осуществить операцию по банковскому счету брокера в виду приставления операций по нему в случаях, установленных законодательством.</w:t>
            </w:r>
          </w:p>
          <w:p w:rsidR="00191808" w:rsidRDefault="000C7491" w:rsidP="000C7491">
            <w:pPr>
              <w:tabs>
                <w:tab w:val="num" w:pos="1145"/>
              </w:tabs>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Клиент, предоставивший Компании право использования в своих интересах денежных средств Клиента, вправе в любое время отказать Компании</w:t>
            </w:r>
            <w:r w:rsidR="00191808">
              <w:rPr>
                <w:rFonts w:ascii="Times New Roman" w:hAnsi="Times New Roman"/>
                <w:sz w:val="20"/>
                <w:szCs w:val="20"/>
              </w:rPr>
              <w:t xml:space="preserve"> в предоставлении такого права.</w:t>
            </w:r>
          </w:p>
          <w:p w:rsidR="000C7491" w:rsidRPr="000C7491" w:rsidRDefault="000C7491" w:rsidP="000C7491">
            <w:pPr>
              <w:tabs>
                <w:tab w:val="num" w:pos="1145"/>
              </w:tabs>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Реализуя свое право на отказ от предоставления Компании права использования в своих интересах денежных средств Клиента, Клиенту следует учитывать, что такой отказ влечет невозможность совершения Клиентом необеспеченных сделок с ценными бумагами и иностранной валютой.</w:t>
            </w:r>
          </w:p>
          <w:p w:rsidR="000C7491" w:rsidRPr="000C7491" w:rsidRDefault="000C7491" w:rsidP="000C7491">
            <w:pPr>
              <w:autoSpaceDE w:val="0"/>
              <w:autoSpaceDN w:val="0"/>
              <w:adjustRightInd w:val="0"/>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lang w:val="en-US"/>
              </w:rPr>
              <w:t>II</w:t>
            </w:r>
            <w:r w:rsidRPr="000C7491">
              <w:rPr>
                <w:rFonts w:ascii="Times New Roman" w:hAnsi="Times New Roman"/>
                <w:sz w:val="20"/>
                <w:szCs w:val="20"/>
              </w:rPr>
              <w:t>. Риски, связанные с использованием брокером ценных бумаг клиента в своих интересах</w:t>
            </w:r>
          </w:p>
          <w:p w:rsidR="000C7491" w:rsidRPr="000C7491" w:rsidRDefault="000C7491" w:rsidP="000C7491">
            <w:pPr>
              <w:tabs>
                <w:tab w:val="left" w:pos="1134"/>
              </w:tabs>
              <w:spacing w:before="120" w:after="120" w:line="240" w:lineRule="auto"/>
              <w:ind w:left="32"/>
              <w:mirrorIndents/>
              <w:jc w:val="both"/>
              <w:rPr>
                <w:rFonts w:ascii="Times New Roman" w:hAnsi="Times New Roman"/>
                <w:sz w:val="20"/>
                <w:szCs w:val="20"/>
              </w:rPr>
            </w:pPr>
            <w:r w:rsidRPr="000C7491">
              <w:rPr>
                <w:rFonts w:ascii="Times New Roman" w:hAnsi="Times New Roman"/>
                <w:sz w:val="20"/>
                <w:szCs w:val="20"/>
              </w:rPr>
              <w:t>Используя ваши ценные бумаги в своих интересах, брокер обязан исполнить требование о возврате ценных бумаг, используемых в его интересах, в сроки, предусмотренные договором.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В результате использования брокером ваших бумаг возникают дополнительные условия (1) для реализации риска контрагента и риска неисполнения брокером обязательств перед вами, связанные с неисполнением или ненадлежащим исполнением обязательств по возврату ценных бумаг, переданных контрагенту, (2) для реализации операционного риска, связанного с увеличением количества транзакций с ценными бумагами и как следствие увеличением вероятности ошибок внутренних процедур сотрудников брокера и/или контрагента.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случае, если список лиц, имеющих право на получение от эмитента или лица, обязанного по ценным бумагам, денежных средств, а также иного имущества, определяется в период использования этих ценных бумаг в интересах брокера, брокер обязан передать вам суммы денежных средств, а также иное имущество, выплаченное (переданное) эмитентом или лицом, обязанным по ценным бумагам, в том числе в виде дивидендов и процентов по таким ценным бумагам.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Обратите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брокера, вы можете быть не включены в указанный список. Если осуществление прав по ценным бумагам важно для вас, не предоставляйте брокеру право использования ваших ценных бумаг в его интересах.</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Ваш брокер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Клиент, предоставивший Компании право использования в своих интересах ценных бумаг Клиента, вправе в любое время отказать Компании в предоставлении такого права.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Отказ от предоставления Компании права использования в своих интересах денежных средств Клиента является отказом Клиента от предоставления Компании права использования в своих интересах ценных бумаг Клиента.</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Уведомление о запрете на осуществлении действий, относящихся к манипулированию рынком, и ограничениях на использование инсайдерской информации и/манипулирование рынком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Компания уведомляет Клиента, что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 224-ФЗ (далее по тексту настоящего раздела – Закон):</w:t>
            </w:r>
          </w:p>
          <w:p w:rsidR="000C7491" w:rsidRPr="000C7491" w:rsidRDefault="000C7491" w:rsidP="000C7491">
            <w:pPr>
              <w:tabs>
                <w:tab w:val="left" w:pos="322"/>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1.</w:t>
            </w:r>
            <w:r w:rsidRPr="000C7491">
              <w:rPr>
                <w:rFonts w:ascii="Times New Roman" w:hAnsi="Times New Roman"/>
                <w:sz w:val="20"/>
                <w:szCs w:val="20"/>
              </w:rPr>
              <w:tab/>
              <w:t>запрещается использование инсайдерской информации: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w:t>
            </w:r>
          </w:p>
          <w:p w:rsidR="000C7491" w:rsidRPr="000C7491" w:rsidRDefault="000C7491" w:rsidP="000C7491">
            <w:pPr>
              <w:tabs>
                <w:tab w:val="left" w:pos="322"/>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2.</w:t>
            </w:r>
            <w:r w:rsidRPr="000C7491">
              <w:rPr>
                <w:rFonts w:ascii="Times New Roman" w:hAnsi="Times New Roman"/>
                <w:sz w:val="20"/>
                <w:szCs w:val="20"/>
              </w:rPr>
              <w:tab/>
              <w:t>запрещается осуществлять действия, относящиеся в соответствии с Законом к манипулированию рынком.</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о недопустимости подачи поручений на совершение сделок,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о 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t>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eastAsia="MS Gothic" w:hAnsi="Times New Roman"/>
                <w:sz w:val="20"/>
                <w:szCs w:val="20"/>
              </w:rPr>
            </w:pPr>
            <w:r w:rsidRPr="000C7491">
              <w:rPr>
                <w:rFonts w:ascii="Times New Roman" w:eastAsia="MS Gothic" w:hAnsi="Times New Roman"/>
                <w:sz w:val="20"/>
                <w:szCs w:val="20"/>
              </w:rPr>
              <w:lastRenderedPageBreak/>
              <w:t>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Уведомление физического лица – получателя финансовых услуг о наличии информационных документов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Компания уведомляет Клиента-физического лица, что на странице Компании в сети «Интернет» по адресу </w:t>
            </w:r>
            <w:r w:rsidR="0009334B" w:rsidRPr="0009334B">
              <w:rPr>
                <w:rFonts w:ascii="Times New Roman" w:hAnsi="Times New Roman"/>
                <w:sz w:val="20"/>
                <w:szCs w:val="20"/>
              </w:rPr>
              <w:t>https://moscowpartners.com/ru/about/info</w:t>
            </w:r>
            <w:r>
              <w:rPr>
                <w:rFonts w:ascii="Times New Roman" w:hAnsi="Times New Roman"/>
                <w:sz w:val="20"/>
                <w:szCs w:val="20"/>
              </w:rPr>
              <w:t xml:space="preserve"> </w:t>
            </w:r>
            <w:r w:rsidRPr="000C7491">
              <w:rPr>
                <w:rFonts w:ascii="Times New Roman" w:hAnsi="Times New Roman"/>
                <w:sz w:val="20"/>
                <w:szCs w:val="20"/>
              </w:rPr>
              <w:t>размещены информационные документы в отношении обыкновенных акций российских акционерных обществ, привилегированных акций российских акционерных обществах и фьючерсных договоров (контрактов).</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Компания рекомендует ознакомиться с указанными информационными документами до начала подачи поручений.</w:t>
            </w:r>
          </w:p>
          <w:p w:rsidR="000C7491" w:rsidRPr="000C7491" w:rsidRDefault="000C7491" w:rsidP="000C7491">
            <w:pPr>
              <w:pStyle w:val="a4"/>
              <w:numPr>
                <w:ilvl w:val="0"/>
                <w:numId w:val="23"/>
              </w:numPr>
              <w:autoSpaceDE w:val="0"/>
              <w:autoSpaceDN w:val="0"/>
              <w:adjustRightInd w:val="0"/>
              <w:spacing w:before="120" w:after="120" w:line="240" w:lineRule="auto"/>
              <w:contextualSpacing w:val="0"/>
              <w:mirrorIndents/>
              <w:jc w:val="both"/>
              <w:rPr>
                <w:rFonts w:ascii="Times New Roman" w:eastAsia="MS Gothic" w:hAnsi="Times New Roman"/>
                <w:b/>
                <w:sz w:val="20"/>
                <w:szCs w:val="20"/>
              </w:rPr>
            </w:pPr>
            <w:r w:rsidRPr="000C7491">
              <w:rPr>
                <w:rFonts w:ascii="Times New Roman" w:eastAsia="MS Gothic" w:hAnsi="Times New Roman"/>
                <w:b/>
                <w:sz w:val="20"/>
                <w:szCs w:val="20"/>
              </w:rPr>
              <w:t>Информация об условиях договора инвестиционного консультирования. Декларация о рисках инвестиционного советника</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bookmarkStart w:id="1" w:name="_Hlk132885557"/>
            <w:r w:rsidRPr="000C7491">
              <w:rPr>
                <w:rFonts w:ascii="Times New Roman" w:hAnsi="Times New Roman"/>
                <w:sz w:val="20"/>
                <w:szCs w:val="20"/>
              </w:rPr>
              <w:t>В случаях, когда условия брокерского обслуживания включают в себя предоставление Клиенту индивидуальных инвестиционных рекомендаций, Компания на основании Договора о Брокерском обслуживании оказывает Клиенту также консультационные услуги в отношении ценных бумаг, сделок с ними и (или) заключения договоров, являющихся производными финансовыми инструментами, путем предоставления Клиенту индивидуальных инвестиционных рекомендаций.</w:t>
            </w:r>
            <w:bookmarkEnd w:id="1"/>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Предметом договора об инвестиционном консультировании является оказание консультационных услуг в отношении ценных бумаг, сделок с ними и (или) заключения договоров, являющихся производными финансовыми инструментами путем предоставления индивидуальных инвестиционных рекомендаций.</w:t>
            </w: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Предоставляемый в настоящем разделе Заявления перечень информации о договоре об инвестиционном консультировании является минимальным, предоставляется в соответствии с законодательством Р</w:t>
            </w:r>
            <w:r w:rsidR="001A73F2">
              <w:rPr>
                <w:rFonts w:ascii="Times New Roman" w:hAnsi="Times New Roman"/>
                <w:sz w:val="20"/>
                <w:szCs w:val="20"/>
              </w:rPr>
              <w:t xml:space="preserve">оссийской </w:t>
            </w:r>
            <w:r w:rsidRPr="000C7491">
              <w:rPr>
                <w:rFonts w:ascii="Times New Roman" w:hAnsi="Times New Roman"/>
                <w:sz w:val="20"/>
                <w:szCs w:val="20"/>
              </w:rPr>
              <w:t>Ф</w:t>
            </w:r>
            <w:r w:rsidR="001A73F2">
              <w:rPr>
                <w:rFonts w:ascii="Times New Roman" w:hAnsi="Times New Roman"/>
                <w:sz w:val="20"/>
                <w:szCs w:val="20"/>
              </w:rPr>
              <w:t>едерации</w:t>
            </w:r>
            <w:r w:rsidRPr="000C7491">
              <w:rPr>
                <w:rFonts w:ascii="Times New Roman" w:hAnsi="Times New Roman"/>
                <w:sz w:val="20"/>
                <w:szCs w:val="20"/>
              </w:rPr>
              <w:t>, не заменяет собой все условия договора об инвестиционном консультировании.</w:t>
            </w:r>
          </w:p>
          <w:p w:rsidR="000C7491" w:rsidRPr="000C7491" w:rsidRDefault="00474338" w:rsidP="000C7491">
            <w:pPr>
              <w:autoSpaceDE w:val="0"/>
              <w:autoSpaceDN w:val="0"/>
              <w:adjustRightInd w:val="0"/>
              <w:spacing w:before="120" w:after="120" w:line="240" w:lineRule="auto"/>
              <w:mirrorIndents/>
              <w:jc w:val="both"/>
              <w:rPr>
                <w:rFonts w:ascii="Times New Roman" w:hAnsi="Times New Roman"/>
                <w:sz w:val="20"/>
                <w:szCs w:val="20"/>
              </w:rPr>
            </w:pPr>
            <w:r>
              <w:rPr>
                <w:rFonts w:ascii="Times New Roman" w:hAnsi="Times New Roman"/>
                <w:sz w:val="20"/>
                <w:szCs w:val="20"/>
              </w:rPr>
              <w:t>З</w:t>
            </w:r>
            <w:r w:rsidRPr="000C7491">
              <w:rPr>
                <w:rFonts w:ascii="Times New Roman" w:hAnsi="Times New Roman"/>
                <w:sz w:val="20"/>
                <w:szCs w:val="20"/>
              </w:rPr>
              <w:t>а предоставление индивидуальных инвестиционн</w:t>
            </w:r>
            <w:r>
              <w:rPr>
                <w:rFonts w:ascii="Times New Roman" w:hAnsi="Times New Roman"/>
                <w:sz w:val="20"/>
                <w:szCs w:val="20"/>
              </w:rPr>
              <w:t>ых рекомендаций уплачивается вознаграждение.</w:t>
            </w:r>
            <w:r w:rsidRPr="000F4EF4">
              <w:rPr>
                <w:rFonts w:ascii="Tahoma" w:hAnsi="Tahoma" w:cs="Tahoma"/>
                <w:sz w:val="16"/>
                <w:szCs w:val="16"/>
              </w:rPr>
              <w:t xml:space="preserve"> </w:t>
            </w:r>
            <w:r w:rsidRPr="001A53DC">
              <w:rPr>
                <w:rFonts w:ascii="Times New Roman" w:hAnsi="Times New Roman"/>
                <w:sz w:val="20"/>
                <w:szCs w:val="20"/>
              </w:rPr>
              <w:t>Порядок расчета этого вознаграждения определяется положениями Регламента осуществления</w:t>
            </w:r>
            <w:r>
              <w:rPr>
                <w:rFonts w:ascii="Times New Roman" w:hAnsi="Times New Roman"/>
                <w:sz w:val="20"/>
                <w:szCs w:val="20"/>
              </w:rPr>
              <w:t xml:space="preserve"> брокерской деятельности (раздел </w:t>
            </w:r>
            <w:r w:rsidRPr="001A53DC">
              <w:rPr>
                <w:rFonts w:ascii="Times New Roman" w:hAnsi="Times New Roman"/>
                <w:sz w:val="20"/>
                <w:szCs w:val="20"/>
              </w:rPr>
              <w:t>5</w:t>
            </w:r>
            <w:r>
              <w:rPr>
                <w:rFonts w:ascii="Times New Roman" w:hAnsi="Times New Roman"/>
                <w:sz w:val="20"/>
                <w:szCs w:val="20"/>
              </w:rPr>
              <w:t>.3.</w:t>
            </w:r>
            <w:r w:rsidRPr="001A53DC">
              <w:rPr>
                <w:rFonts w:ascii="Times New Roman" w:hAnsi="Times New Roman"/>
                <w:sz w:val="20"/>
                <w:szCs w:val="20"/>
              </w:rPr>
              <w:t xml:space="preserve"> Регламента осуществления брокерской деятельности, Приложение № </w:t>
            </w:r>
            <w:r>
              <w:rPr>
                <w:rFonts w:ascii="Times New Roman" w:hAnsi="Times New Roman"/>
                <w:sz w:val="20"/>
                <w:szCs w:val="20"/>
              </w:rPr>
              <w:t>2</w:t>
            </w:r>
            <w:r w:rsidRPr="001A53DC">
              <w:rPr>
                <w:rFonts w:ascii="Times New Roman" w:hAnsi="Times New Roman"/>
                <w:sz w:val="20"/>
                <w:szCs w:val="20"/>
              </w:rPr>
              <w:t xml:space="preserve"> к Регламенту осуществления брокерской деятельности)</w:t>
            </w:r>
            <w:r w:rsidR="000C7491" w:rsidRPr="000C7491">
              <w:rPr>
                <w:rFonts w:ascii="Times New Roman" w:hAnsi="Times New Roman"/>
                <w:sz w:val="20"/>
                <w:szCs w:val="20"/>
              </w:rPr>
              <w:t>.</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bookmarkStart w:id="2" w:name="_Hlk132885789"/>
            <w:r w:rsidRPr="000C7491">
              <w:rPr>
                <w:rFonts w:ascii="Times New Roman" w:hAnsi="Times New Roman"/>
                <w:sz w:val="20"/>
                <w:szCs w:val="20"/>
              </w:rPr>
              <w:t xml:space="preserve">Условиями предоставления индивидуальных инвестиционных рекомендаций являются: (i) предоставление Клиентом сведений, необходимых для определения инвестиционного профиля Клиента; (ii) получение Компанией согласия Клиента с определенным для него инвестиционным профилем; (iii) </w:t>
            </w:r>
            <w:r w:rsidR="00474338" w:rsidRPr="00E4002E">
              <w:rPr>
                <w:rFonts w:ascii="Times New Roman" w:hAnsi="Times New Roman"/>
                <w:sz w:val="20"/>
                <w:szCs w:val="20"/>
              </w:rPr>
              <w:t>предоставление Клиентом сведений о текущем состоянии инвестиционного портфеля (для целей анализа в случае коррекции (ребалансировки) инвестиционного портфеля)</w:t>
            </w:r>
            <w:r w:rsidRPr="000C7491">
              <w:rPr>
                <w:rFonts w:ascii="Times New Roman" w:hAnsi="Times New Roman"/>
                <w:sz w:val="20"/>
                <w:szCs w:val="20"/>
              </w:rPr>
              <w:t>.</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Перечень сведений, необходимых для определения инвестиционного профиля, порядок составления инвестиционного профиля, порядок ознакомления с ним Клиента установлен </w:t>
            </w:r>
            <w:r w:rsidR="001A73F2">
              <w:rPr>
                <w:rFonts w:ascii="Times New Roman" w:hAnsi="Times New Roman"/>
                <w:sz w:val="20"/>
                <w:szCs w:val="20"/>
              </w:rPr>
              <w:t xml:space="preserve">Порядком </w:t>
            </w:r>
            <w:r w:rsidRPr="000C7491">
              <w:rPr>
                <w:rFonts w:ascii="Times New Roman" w:hAnsi="Times New Roman"/>
                <w:sz w:val="20"/>
                <w:szCs w:val="20"/>
              </w:rPr>
              <w:t>определени</w:t>
            </w:r>
            <w:r w:rsidR="001A73F2">
              <w:rPr>
                <w:rFonts w:ascii="Times New Roman" w:hAnsi="Times New Roman"/>
                <w:sz w:val="20"/>
                <w:szCs w:val="20"/>
              </w:rPr>
              <w:t>я</w:t>
            </w:r>
            <w:r w:rsidRPr="000C7491">
              <w:rPr>
                <w:rFonts w:ascii="Times New Roman" w:hAnsi="Times New Roman"/>
                <w:sz w:val="20"/>
                <w:szCs w:val="20"/>
              </w:rPr>
              <w:t xml:space="preserve"> инвестиционного </w:t>
            </w:r>
            <w:r w:rsidR="001A73F2" w:rsidRPr="000C7491">
              <w:rPr>
                <w:rFonts w:ascii="Times New Roman" w:hAnsi="Times New Roman"/>
                <w:sz w:val="20"/>
                <w:szCs w:val="20"/>
              </w:rPr>
              <w:t xml:space="preserve">профиля </w:t>
            </w:r>
            <w:r w:rsidR="001A73F2">
              <w:rPr>
                <w:rFonts w:ascii="Times New Roman" w:hAnsi="Times New Roman"/>
                <w:sz w:val="20"/>
                <w:szCs w:val="20"/>
              </w:rPr>
              <w:t>и перечнем сведений, необходимых для его определения</w:t>
            </w:r>
            <w:r w:rsidRPr="000C7491">
              <w:rPr>
                <w:rFonts w:ascii="Times New Roman" w:hAnsi="Times New Roman"/>
                <w:sz w:val="20"/>
                <w:szCs w:val="20"/>
              </w:rPr>
              <w:t>, размещенном на Сайте Компании. При составлении инвестиционного профиля Клиента Компания вправе использовать имеющуюся в ее распоряжении информацию об истории операций Клиента.</w:t>
            </w:r>
          </w:p>
          <w:bookmarkEnd w:id="2"/>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Индивидуальные инвестиционные рекомендации предоставляется Клиенту в виде письменных рекомендаций (в форме документа на бумажном носителе либо в форме электронного документа, передаваемого посредством электронной почты).</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В процессе оказания консультационных услуг в отношении ценных бумаг, сделок с ними и (или) заключения договоров, являющихся производными финансовыми инструментами, Компания не осуществляет оценку соответствия инвестиционного портфеля Клиента инвестиционному профилю Клиента (не осуществляет мониторинг инвестиционного портфеля), поэтому Компания уведомляет Клиента о необходимости самостоятельно осуществлять мониторинг инвестиционного портфеля.</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lastRenderedPageBreak/>
              <w:t xml:space="preserve">Предоставление индивидуальных инвестиционных рекомендаций связано с возможностью возникновения конфликта интересов. Основные источники конфликта интересов, в том числе связанные с предоставлением индивидуальных инвестиционных рекомендаций, содержатся в п. </w:t>
            </w:r>
            <w:r w:rsidR="000D7751">
              <w:rPr>
                <w:rFonts w:ascii="Times New Roman" w:hAnsi="Times New Roman"/>
                <w:sz w:val="20"/>
                <w:szCs w:val="20"/>
              </w:rPr>
              <w:t>10</w:t>
            </w:r>
            <w:r w:rsidRPr="000C7491">
              <w:rPr>
                <w:rFonts w:ascii="Times New Roman" w:hAnsi="Times New Roman"/>
                <w:sz w:val="20"/>
                <w:szCs w:val="20"/>
              </w:rPr>
              <w:t xml:space="preserve"> (Уведомление об общем характере и (или) источниках конфликта интересов) настоящего раздела Заявления, при этом Компания особо обращает внимание на возможность зависимости Компании как инвестиционного советника и или ее индивидуальных инвестиционных рекомендаций от интересов третьих лиц.</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Оказание услуг по инвестиционному консультированию не ограничено сроком и осуществляется в течение всего срока действия Договора о брокерском обслуживании, заключенного на условиях</w:t>
            </w:r>
            <w:r w:rsidR="00474338">
              <w:rPr>
                <w:rFonts w:ascii="Times New Roman" w:hAnsi="Times New Roman"/>
                <w:sz w:val="20"/>
                <w:szCs w:val="20"/>
              </w:rPr>
              <w:t>,</w:t>
            </w:r>
            <w:r w:rsidRPr="000C7491">
              <w:rPr>
                <w:rFonts w:ascii="Times New Roman" w:hAnsi="Times New Roman"/>
                <w:sz w:val="20"/>
                <w:szCs w:val="20"/>
              </w:rPr>
              <w:t xml:space="preserve"> </w:t>
            </w:r>
            <w:r w:rsidR="00474338">
              <w:rPr>
                <w:rFonts w:ascii="Times New Roman" w:hAnsi="Times New Roman"/>
                <w:sz w:val="20"/>
                <w:szCs w:val="20"/>
              </w:rPr>
              <w:t xml:space="preserve">предусматривающих </w:t>
            </w:r>
            <w:r w:rsidRPr="000C7491">
              <w:rPr>
                <w:rFonts w:ascii="Times New Roman" w:hAnsi="Times New Roman"/>
                <w:sz w:val="20"/>
                <w:szCs w:val="20"/>
              </w:rPr>
              <w:t>предоставление индивидуальных инвестиционных рекомендаций.</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Исполнение договора об инвестиционном консультировании сопряжено с возникновением дополнительных рисков, в том числе:</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операционного риска Компании как инвестиционного советника (риска возникновения у Клиента, как получателя финансовых услуг, убытков в результате несовершенства или ошибочных внутренних процессов инвестиционного советника, некорректных действий или бездействия работников инвестиционного советника и (или) воздействия внешних событий, сбоев и недостатков информационных, технологических и иных систем, правовом риске, риске информационной безопасности);</w:t>
            </w:r>
          </w:p>
          <w:p w:rsidR="000C7491" w:rsidRPr="000C7491" w:rsidRDefault="000C7491" w:rsidP="000C7491">
            <w:pPr>
              <w:autoSpaceDE w:val="0"/>
              <w:autoSpaceDN w:val="0"/>
              <w:adjustRightInd w:val="0"/>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риска возникновения убытков у Клиента в случае совершения сделок с финансовыми инструментами на основании предоставленной Компанией индивидуальной инвестиционной рекомендации с отступлением от условий, указанных в предоставленной индивидуальной инвестиционной рекомендации (включая риск возникновения убытков в случае совершения Клиентом сделок с финансовыми инструментами частично либо за пределами сроков, указанных в инвестиционной рекомендации и/или в договоре об инвестиционном консультировании).</w:t>
            </w:r>
          </w:p>
          <w:p w:rsidR="000C7491" w:rsidRPr="000C7491" w:rsidRDefault="000C7491" w:rsidP="000C7491">
            <w:pPr>
              <w:autoSpaceDE w:val="0"/>
              <w:autoSpaceDN w:val="0"/>
              <w:adjustRightInd w:val="0"/>
              <w:spacing w:before="120" w:after="120" w:line="240" w:lineRule="auto"/>
              <w:mirrorIndents/>
              <w:jc w:val="both"/>
              <w:rPr>
                <w:rFonts w:ascii="Times New Roman" w:eastAsia="MS Gothic" w:hAnsi="Times New Roman"/>
                <w:b/>
                <w:sz w:val="20"/>
                <w:szCs w:val="20"/>
              </w:rPr>
            </w:pPr>
          </w:p>
          <w:p w:rsidR="000C7491" w:rsidRPr="000C7491" w:rsidRDefault="000C7491" w:rsidP="000C7491">
            <w:pPr>
              <w:tabs>
                <w:tab w:val="left" w:pos="1134"/>
              </w:tabs>
              <w:spacing w:before="120" w:after="120" w:line="240" w:lineRule="auto"/>
              <w:mirrorIndents/>
              <w:jc w:val="both"/>
              <w:rPr>
                <w:rFonts w:ascii="Times New Roman" w:hAnsi="Times New Roman"/>
                <w:sz w:val="20"/>
                <w:szCs w:val="20"/>
              </w:rPr>
            </w:pPr>
            <w:r w:rsidRPr="000C7491">
              <w:rPr>
                <w:rFonts w:ascii="Times New Roman" w:hAnsi="Times New Roman"/>
                <w:sz w:val="20"/>
                <w:szCs w:val="20"/>
              </w:rPr>
              <w:t xml:space="preserve">Подписанием настоящего Заявления подтверждаю, что до присоединения к Договору о брокерском обслуживании полностью ознакомился с текстом Регламента </w:t>
            </w:r>
            <w:r w:rsidRPr="000C7491">
              <w:rPr>
                <w:rFonts w:ascii="Times New Roman" w:eastAsia="MS Gothic" w:hAnsi="Times New Roman"/>
                <w:sz w:val="20"/>
                <w:szCs w:val="20"/>
              </w:rPr>
              <w:t>осуществления брокерской деятельности, включающего все приложения</w:t>
            </w:r>
            <w:r w:rsidRPr="000C7491">
              <w:rPr>
                <w:rFonts w:ascii="Times New Roman" w:hAnsi="Times New Roman"/>
                <w:sz w:val="20"/>
                <w:szCs w:val="20"/>
              </w:rPr>
              <w:t>, а равно подтверждаю, что:</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 xml:space="preserve">предусмотренные Регламентом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 xml:space="preserve"> и Договором о брокерском обслуживании права и обязанности Сторон мне полностью известны и понятны;</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 xml:space="preserve">я согласен (согласна) с тем, что Брокерское обслуживание будет осуществляться в порядке, установленном Регламентом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 xml:space="preserve">я ознакомился (ознакомилась) с Частью 7 Регламента </w:t>
            </w:r>
            <w:r w:rsidRPr="000C7491">
              <w:rPr>
                <w:rFonts w:ascii="Times New Roman" w:eastAsia="MS Gothic" w:hAnsi="Times New Roman"/>
                <w:sz w:val="20"/>
                <w:szCs w:val="20"/>
              </w:rPr>
              <w:t xml:space="preserve">осуществления брокерской деятельности </w:t>
            </w:r>
            <w:r w:rsidRPr="000C7491">
              <w:rPr>
                <w:rFonts w:ascii="Times New Roman" w:hAnsi="Times New Roman"/>
                <w:sz w:val="20"/>
                <w:szCs w:val="20"/>
              </w:rPr>
              <w:t>«Уведомления», а именно с:</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 xml:space="preserve">Уведомлением о правах и гарантиях Клиента, изложенным в Разделе 7.1. Регламента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 xml:space="preserve">Декларацией (уведомлением) о рисках на рынке ценных бумаг, изложенной в Разделе 7.2. Регламента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с уведомлением о праве клиринговой организации заключать сделки РЕПО Клирингового центра с ценными бумагами, находящимися на торгово-клиринговом счете Т+ участника клиринга, в том числе с ценными бумагами клиента участника клиринга;</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с уведомлением о праве клиринговой организации заключать без поручения добросовестного участника клиринга договоры, в результате которых у добросовестного участника клиринга возникает обязанность перед клиринговой организацией по передаче последней денежных средств и/или ценных бумаг, в целях урегулирования обязательств клиринговой организации перед добросовестным участником клиринга;</w:t>
            </w:r>
          </w:p>
          <w:p w:rsidR="000C7491" w:rsidRPr="000C7491" w:rsidRDefault="000C7491" w:rsidP="000C7491">
            <w:pPr>
              <w:numPr>
                <w:ilvl w:val="1"/>
                <w:numId w:val="7"/>
              </w:numPr>
              <w:tabs>
                <w:tab w:val="clear" w:pos="2076"/>
                <w:tab w:val="num" w:pos="601"/>
                <w:tab w:val="num" w:pos="1440"/>
              </w:tabs>
              <w:spacing w:before="120" w:after="120" w:line="240" w:lineRule="auto"/>
              <w:ind w:left="601" w:hanging="318"/>
              <w:mirrorIndents/>
              <w:jc w:val="both"/>
              <w:rPr>
                <w:rFonts w:ascii="Times New Roman" w:hAnsi="Times New Roman"/>
                <w:sz w:val="20"/>
                <w:szCs w:val="20"/>
              </w:rPr>
            </w:pPr>
            <w:r w:rsidRPr="000C7491">
              <w:rPr>
                <w:rFonts w:ascii="Times New Roman" w:hAnsi="Times New Roman"/>
                <w:sz w:val="20"/>
                <w:szCs w:val="20"/>
              </w:rPr>
              <w:t>Целями использования биржевой информации и мерами ответственности за их нарушение, изложенными в Разделе 7.</w:t>
            </w:r>
            <w:r w:rsidR="00B93A44">
              <w:rPr>
                <w:rFonts w:ascii="Times New Roman" w:hAnsi="Times New Roman"/>
                <w:sz w:val="20"/>
                <w:szCs w:val="20"/>
              </w:rPr>
              <w:t>4</w:t>
            </w:r>
            <w:r w:rsidRPr="000C7491">
              <w:rPr>
                <w:rFonts w:ascii="Times New Roman" w:hAnsi="Times New Roman"/>
                <w:sz w:val="20"/>
                <w:szCs w:val="20"/>
              </w:rPr>
              <w:t>. Регламента осуществления брокерской деятельности;</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я ознакомился (ознакомилась) с Уведомлением об использовании специального брокерского счета, изложенным в Разделе 1.8. Регламента осуществления брокерской деятельности, в том числе с рисками, связанными с объединением денежных средств клиентов на специальном брокерском счете с денежными средствами других клиентов;</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я ознакомился (ознакомилась) с Уведомлением о способах учета активов, передаваемых клиринговому ц</w:t>
            </w:r>
            <w:r w:rsidR="00B93A44">
              <w:rPr>
                <w:rFonts w:ascii="Times New Roman" w:hAnsi="Times New Roman"/>
                <w:sz w:val="20"/>
                <w:szCs w:val="20"/>
              </w:rPr>
              <w:t>ентру, изложенным в Разделе 1.12</w:t>
            </w:r>
            <w:r w:rsidRPr="000C7491">
              <w:rPr>
                <w:rFonts w:ascii="Times New Roman" w:hAnsi="Times New Roman"/>
                <w:sz w:val="20"/>
                <w:szCs w:val="20"/>
              </w:rPr>
              <w:t xml:space="preserve"> Регламента </w:t>
            </w:r>
            <w:r w:rsidRPr="000C7491">
              <w:rPr>
                <w:rFonts w:ascii="Times New Roman" w:eastAsia="MS Gothic" w:hAnsi="Times New Roman"/>
                <w:sz w:val="20"/>
                <w:szCs w:val="20"/>
              </w:rPr>
              <w:t>осуществления брокерской деятельности</w:t>
            </w:r>
            <w:r w:rsidRPr="000C7491">
              <w:rPr>
                <w:rFonts w:ascii="Times New Roman" w:hAnsi="Times New Roman"/>
                <w:sz w:val="20"/>
                <w:szCs w:val="20"/>
              </w:rPr>
              <w:t>;</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 xml:space="preserve">я уведомлен </w:t>
            </w:r>
            <w:r w:rsidRPr="000C7491">
              <w:rPr>
                <w:rFonts w:ascii="Times New Roman" w:eastAsia="MS Gothic" w:hAnsi="Times New Roman"/>
                <w:sz w:val="20"/>
                <w:szCs w:val="20"/>
              </w:rPr>
              <w:t xml:space="preserve">(уведомлена) </w:t>
            </w:r>
            <w:r w:rsidRPr="000C7491">
              <w:rPr>
                <w:rFonts w:ascii="Times New Roman" w:hAnsi="Times New Roman"/>
                <w:sz w:val="20"/>
                <w:szCs w:val="20"/>
              </w:rPr>
              <w:t>о наличии в Регламенте осуществления брокерской деятельности длящихся поручений и ознакомился с их условиями, порядком их исполнения и порядком их отмены;</w:t>
            </w:r>
          </w:p>
          <w:p w:rsidR="000C7491" w:rsidRPr="000C7491" w:rsidRDefault="000C7491" w:rsidP="000C7491">
            <w:pPr>
              <w:numPr>
                <w:ilvl w:val="0"/>
                <w:numId w:val="7"/>
              </w:numPr>
              <w:tabs>
                <w:tab w:val="clear" w:pos="1356"/>
                <w:tab w:val="num" w:pos="318"/>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lastRenderedPageBreak/>
              <w:t>я уведомлен (уведомлена) о дополнительных рисках, связанных с учетом прав на ценные бумаги с местом хранения в иностранной организации;</w:t>
            </w:r>
          </w:p>
          <w:p w:rsidR="000C7491" w:rsidRPr="00B93A44" w:rsidRDefault="000C7491" w:rsidP="00B93A44">
            <w:pPr>
              <w:numPr>
                <w:ilvl w:val="0"/>
                <w:numId w:val="7"/>
              </w:numPr>
              <w:tabs>
                <w:tab w:val="clear" w:pos="1356"/>
                <w:tab w:val="num" w:pos="318"/>
                <w:tab w:val="num" w:pos="720"/>
              </w:tabs>
              <w:spacing w:before="120" w:after="120" w:line="240" w:lineRule="auto"/>
              <w:ind w:left="318" w:hanging="318"/>
              <w:mirrorIndents/>
              <w:jc w:val="both"/>
              <w:rPr>
                <w:rFonts w:ascii="Times New Roman" w:hAnsi="Times New Roman"/>
                <w:sz w:val="20"/>
                <w:szCs w:val="20"/>
              </w:rPr>
            </w:pPr>
            <w:r w:rsidRPr="000C7491">
              <w:rPr>
                <w:rFonts w:ascii="Times New Roman" w:hAnsi="Times New Roman"/>
                <w:sz w:val="20"/>
                <w:szCs w:val="20"/>
              </w:rPr>
              <w:t>я уведомлен (уведомлена), что физическим лицам, не</w:t>
            </w:r>
            <w:r w:rsidRPr="000C7491">
              <w:rPr>
                <w:rFonts w:ascii="Times New Roman" w:eastAsia="MS Gothic" w:hAnsi="Times New Roman"/>
                <w:sz w:val="20"/>
                <w:szCs w:val="20"/>
              </w:rPr>
              <w:t xml:space="preserve"> являющимся квалифицированными инвесторами, отдельные сделки (договоры) доступны только после прохождения тестирования по соответствующим сделкам (договорам) и получения положительного результата такого тестирования.</w:t>
            </w:r>
          </w:p>
        </w:tc>
      </w:tr>
    </w:tbl>
    <w:p w:rsidR="000C7491" w:rsidRDefault="000C7491" w:rsidP="000C7491">
      <w:pPr>
        <w:pStyle w:val="a4"/>
        <w:tabs>
          <w:tab w:val="left" w:pos="1134"/>
        </w:tabs>
        <w:autoSpaceDE w:val="0"/>
        <w:autoSpaceDN w:val="0"/>
        <w:adjustRightInd w:val="0"/>
        <w:spacing w:after="0" w:line="240" w:lineRule="auto"/>
        <w:jc w:val="both"/>
        <w:rPr>
          <w:rFonts w:ascii="Times New Roman" w:eastAsia="MS Gothic" w:hAnsi="Times New Roman"/>
          <w:sz w:val="20"/>
          <w:szCs w:val="20"/>
        </w:rPr>
      </w:pP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b/>
          <w:sz w:val="20"/>
          <w:szCs w:val="20"/>
        </w:rPr>
        <w:t>Настоящим подтверждаю</w:t>
      </w:r>
      <w:r w:rsidRPr="00CE0885">
        <w:rPr>
          <w:rFonts w:ascii="Times New Roman" w:eastAsia="MS Gothic" w:hAnsi="Times New Roman"/>
          <w:sz w:val="20"/>
          <w:szCs w:val="20"/>
        </w:rPr>
        <w:t>, что с Рекомендациями</w:t>
      </w:r>
      <w:r w:rsidR="00B77346">
        <w:rPr>
          <w:rFonts w:ascii="Times New Roman" w:eastAsia="MS Gothic" w:hAnsi="Times New Roman"/>
          <w:sz w:val="20"/>
          <w:szCs w:val="20"/>
        </w:rPr>
        <w:t xml:space="preserve"> о мерах по предотвращению доступа к защищаемой информации, раз</w:t>
      </w:r>
      <w:r w:rsidRPr="00CE0885">
        <w:rPr>
          <w:rFonts w:ascii="Times New Roman" w:eastAsia="MS Gothic" w:hAnsi="Times New Roman"/>
          <w:sz w:val="20"/>
          <w:szCs w:val="20"/>
        </w:rPr>
        <w:t>мещенными на странице ООО «</w:t>
      </w:r>
      <w:r w:rsidR="00B77346">
        <w:rPr>
          <w:rFonts w:ascii="Times New Roman" w:eastAsia="MS Gothic" w:hAnsi="Times New Roman"/>
          <w:sz w:val="20"/>
          <w:szCs w:val="20"/>
        </w:rPr>
        <w:t>Московские партнеры</w:t>
      </w:r>
      <w:r w:rsidRPr="00CE0885">
        <w:rPr>
          <w:rFonts w:ascii="Times New Roman" w:eastAsia="MS Gothic" w:hAnsi="Times New Roman"/>
          <w:sz w:val="20"/>
          <w:szCs w:val="20"/>
        </w:rPr>
        <w:t xml:space="preserve">» в сети Интернет по адресу </w:t>
      </w:r>
      <w:hyperlink r:id="rId8" w:history="1">
        <w:r w:rsidR="0009334B" w:rsidRPr="00296534">
          <w:rPr>
            <w:rStyle w:val="af8"/>
            <w:rFonts w:ascii="Times New Roman" w:eastAsia="MS Gothic" w:hAnsi="Times New Roman"/>
            <w:sz w:val="20"/>
            <w:szCs w:val="20"/>
          </w:rPr>
          <w:t>https://moscowpartners.com/</w:t>
        </w:r>
      </w:hyperlink>
      <w:r w:rsidR="0009334B">
        <w:rPr>
          <w:rFonts w:ascii="Times New Roman" w:eastAsia="MS Gothic" w:hAnsi="Times New Roman"/>
          <w:sz w:val="20"/>
          <w:szCs w:val="20"/>
        </w:rPr>
        <w:t xml:space="preserve"> </w:t>
      </w:r>
      <w:r w:rsidRPr="00CE0885">
        <w:rPr>
          <w:rFonts w:ascii="Times New Roman" w:eastAsia="MS Gothic" w:hAnsi="Times New Roman"/>
          <w:sz w:val="20"/>
          <w:szCs w:val="20"/>
        </w:rPr>
        <w:t>ознакомлен.</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Я ознакомлен и путем подписания настоящего Заявления выражаю свое согласие с тем, что Общество с ограниченной ответственностью «</w:t>
      </w:r>
      <w:r w:rsidR="00B77346" w:rsidRPr="00BA0B41">
        <w:rPr>
          <w:rFonts w:ascii="Times New Roman" w:eastAsia="MS Gothic" w:hAnsi="Times New Roman"/>
          <w:sz w:val="20"/>
          <w:szCs w:val="20"/>
        </w:rPr>
        <w:t>«</w:t>
      </w:r>
      <w:r w:rsidR="00B77346">
        <w:rPr>
          <w:rFonts w:ascii="Times New Roman" w:hAnsi="Times New Roman"/>
          <w:sz w:val="20"/>
          <w:szCs w:val="20"/>
        </w:rPr>
        <w:t>М</w:t>
      </w:r>
      <w:r w:rsidR="00B77346" w:rsidRPr="00BA0B41">
        <w:rPr>
          <w:rFonts w:ascii="Times New Roman" w:hAnsi="Times New Roman"/>
          <w:sz w:val="20"/>
          <w:szCs w:val="20"/>
        </w:rPr>
        <w:t>осковские партнеры</w:t>
      </w:r>
      <w:r w:rsidR="00B77346" w:rsidRPr="00BA0B41">
        <w:rPr>
          <w:rFonts w:ascii="Times New Roman" w:eastAsia="MS Gothic" w:hAnsi="Times New Roman"/>
          <w:sz w:val="20"/>
          <w:szCs w:val="20"/>
        </w:rPr>
        <w:t>» (</w:t>
      </w:r>
      <w:r w:rsidR="00B77346" w:rsidRPr="00BA0B41">
        <w:rPr>
          <w:rFonts w:ascii="Times New Roman" w:hAnsi="Times New Roman"/>
          <w:sz w:val="20"/>
          <w:szCs w:val="20"/>
        </w:rPr>
        <w:t>ОГРН 1087746796060, 123056, г. Москва, Малый Тишинский переулок, дом 23, стр.1, помещение I, комн. 1-18</w:t>
      </w:r>
      <w:r w:rsidR="00B77346" w:rsidRPr="00BA0B41">
        <w:rPr>
          <w:rFonts w:ascii="Times New Roman" w:eastAsia="MS Gothic" w:hAnsi="Times New Roman"/>
          <w:sz w:val="20"/>
          <w:szCs w:val="20"/>
        </w:rPr>
        <w:t>)</w:t>
      </w:r>
      <w:r w:rsidR="00B77346" w:rsidRPr="00CE0885">
        <w:rPr>
          <w:rFonts w:ascii="Times New Roman" w:eastAsia="MS Gothic" w:hAnsi="Times New Roman"/>
          <w:sz w:val="20"/>
          <w:szCs w:val="20"/>
        </w:rPr>
        <w:t xml:space="preserve"> </w:t>
      </w:r>
      <w:r w:rsidRPr="00CE0885">
        <w:rPr>
          <w:rFonts w:ascii="Times New Roman" w:eastAsia="MS Gothic" w:hAnsi="Times New Roman"/>
          <w:sz w:val="20"/>
          <w:szCs w:val="20"/>
        </w:rPr>
        <w:t>(далее – Компания) будет в соответствии с ФЗ «О персональных данных» осуществлять обработку моих персональных данных, содержащихся в анкетах, доверенностях, заявлениях и иных документах, предоставляемых мною Компании.</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 xml:space="preserve">Согласие предоставляется на сбор, запись, систематизацию, накопление, хранение, уточнение (обновление, изменение), извлечение, использование, передачу третьим лицам, блокирование, удаление, уничтожение персональных данных, как с использованием средств автоматизации, так и без использования таких средств, при этом под третьими лицами, которым Компания вправе передавать персональные данные, понимаются контрагенты по сделкам, совершаемым Компанией от имени субъекта персональных данных, вышестоящим депозитариям и регистраторам в рамках содействия субъектам персональных данных в реализации прав, удостоверенных принадлежащими субъекту персональных данных ценными бумагами или иными финансовыми инструментами, организаторам торгов, репозитариям, а также лицам, которым Компания </w:t>
      </w:r>
      <w:r w:rsidR="00B77346">
        <w:rPr>
          <w:rFonts w:ascii="Times New Roman" w:eastAsia="MS Gothic" w:hAnsi="Times New Roman"/>
          <w:sz w:val="20"/>
          <w:szCs w:val="20"/>
        </w:rPr>
        <w:t xml:space="preserve">поручает </w:t>
      </w:r>
      <w:r w:rsidRPr="00CE0885">
        <w:rPr>
          <w:rFonts w:ascii="Times New Roman" w:eastAsia="MS Gothic" w:hAnsi="Times New Roman"/>
          <w:sz w:val="20"/>
          <w:szCs w:val="20"/>
        </w:rPr>
        <w:t>совершение действий, направленных на реализацию целей обработки персональных данных.</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Подписанием настоящего Заявления выражаю свое согласие с тем, что Компания как оператор персональных данных вправе поручить обработку моих персональных данных, содержащихся в анкетах, доверенностях, заявлениях и иных документах, предоставляемых мною Компании, другим лицам для целей реализации целей обработки персональных данных.</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Целью обработки персональных данных являются (i) установление и поддержание договорных отношений, обеспечение реализации прав и надлежащего исполнения обязанностей по заключенным договорам, (ii) продвижение товаров и услуг Компании путем осуществления прямых контактов с заявителем как потенциальным потребителем с помощью средств связи, информация о которых предоставлена Компании, (iii) предоставление аналитических материалов, а также новостей, связанных с деятельность</w:t>
      </w:r>
      <w:r w:rsidR="00B77346">
        <w:rPr>
          <w:rFonts w:ascii="Times New Roman" w:eastAsia="MS Gothic" w:hAnsi="Times New Roman"/>
          <w:sz w:val="20"/>
          <w:szCs w:val="20"/>
        </w:rPr>
        <w:t>ю</w:t>
      </w:r>
      <w:r w:rsidRPr="00CE0885">
        <w:rPr>
          <w:rFonts w:ascii="Times New Roman" w:eastAsia="MS Gothic" w:hAnsi="Times New Roman"/>
          <w:sz w:val="20"/>
          <w:szCs w:val="20"/>
        </w:rPr>
        <w:t xml:space="preserve"> Компании, </w:t>
      </w:r>
      <w:r w:rsidR="00B77346">
        <w:rPr>
          <w:rFonts w:ascii="Times New Roman" w:eastAsia="MS Gothic" w:hAnsi="Times New Roman"/>
          <w:sz w:val="20"/>
          <w:szCs w:val="20"/>
        </w:rPr>
        <w:t xml:space="preserve">и </w:t>
      </w:r>
      <w:r w:rsidRPr="00CE0885">
        <w:rPr>
          <w:rFonts w:ascii="Times New Roman" w:eastAsia="MS Gothic" w:hAnsi="Times New Roman"/>
          <w:sz w:val="20"/>
          <w:szCs w:val="20"/>
        </w:rPr>
        <w:t>финансового рынка в целом; (</w:t>
      </w:r>
      <w:r w:rsidRPr="00CE0885">
        <w:rPr>
          <w:rFonts w:ascii="Times New Roman" w:eastAsia="MS Gothic" w:hAnsi="Times New Roman"/>
          <w:sz w:val="20"/>
          <w:szCs w:val="20"/>
          <w:lang w:val="en-US"/>
        </w:rPr>
        <w:t>iv</w:t>
      </w:r>
      <w:r w:rsidRPr="00CE0885">
        <w:rPr>
          <w:rFonts w:ascii="Times New Roman" w:eastAsia="MS Gothic" w:hAnsi="Times New Roman"/>
          <w:sz w:val="20"/>
          <w:szCs w:val="20"/>
        </w:rPr>
        <w:t>) контроль за качеством оказываемых Компанией услуг, в том числе путем проведения с помощью средств связи, информация о которых предоставлена Компании, опросов, анкетирования иных форм маркетинговых исследований.</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Сроки обработки персональных данных: с даты предоставления данных Компании и в течение 5 (пяти) лет с наиболее поздней даты: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CE0885" w:rsidRPr="00CE0885" w:rsidRDefault="00CE0885" w:rsidP="00CE0885">
      <w:pPr>
        <w:pStyle w:val="a4"/>
        <w:tabs>
          <w:tab w:val="left" w:pos="1134"/>
        </w:tabs>
        <w:autoSpaceDE w:val="0"/>
        <w:autoSpaceDN w:val="0"/>
        <w:adjustRightInd w:val="0"/>
        <w:spacing w:after="0" w:line="240" w:lineRule="auto"/>
        <w:ind w:left="0"/>
        <w:jc w:val="both"/>
        <w:rPr>
          <w:rFonts w:ascii="Times New Roman" w:eastAsia="MS Gothic" w:hAnsi="Times New Roman"/>
          <w:sz w:val="20"/>
          <w:szCs w:val="20"/>
        </w:rPr>
      </w:pPr>
      <w:r w:rsidRPr="00CE0885">
        <w:rPr>
          <w:rFonts w:ascii="Times New Roman" w:eastAsia="MS Gothic" w:hAnsi="Times New Roman"/>
          <w:sz w:val="20"/>
          <w:szCs w:val="20"/>
        </w:rPr>
        <w:t>Заявитель вправе в любое время отозвать настоящее согласие на обработку персональных данных, путем направления Компании соответствующего заявления. Такое заявление должно быть направлено в письменной форме по адресу места нахождения Компании указанному выше.</w:t>
      </w:r>
    </w:p>
    <w:p w:rsidR="000C7491" w:rsidRDefault="000C7491" w:rsidP="00CE0885">
      <w:pPr>
        <w:tabs>
          <w:tab w:val="left" w:pos="1134"/>
        </w:tabs>
        <w:autoSpaceDE w:val="0"/>
        <w:autoSpaceDN w:val="0"/>
        <w:adjustRightInd w:val="0"/>
        <w:spacing w:after="0" w:line="240" w:lineRule="auto"/>
        <w:jc w:val="both"/>
        <w:rPr>
          <w:rFonts w:ascii="Times New Roman" w:eastAsia="MS Gothic" w:hAnsi="Times New Roman"/>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536"/>
        <w:gridCol w:w="2693"/>
      </w:tblGrid>
      <w:tr w:rsidR="00FB3AEA" w:rsidRPr="00BA0B41" w:rsidTr="00BA0B41">
        <w:trPr>
          <w:trHeight w:val="176"/>
        </w:trPr>
        <w:tc>
          <w:tcPr>
            <w:tcW w:w="7230" w:type="dxa"/>
            <w:gridSpan w:val="2"/>
            <w:shd w:val="clear" w:color="auto" w:fill="auto"/>
          </w:tcPr>
          <w:p w:rsidR="00FB3AEA" w:rsidRPr="00BA0B41" w:rsidRDefault="00FB3AEA" w:rsidP="00BA0B41">
            <w:pPr>
              <w:spacing w:after="0" w:line="240" w:lineRule="auto"/>
              <w:jc w:val="both"/>
              <w:rPr>
                <w:rFonts w:ascii="Times New Roman" w:hAnsi="Times New Roman"/>
                <w:b/>
                <w:sz w:val="20"/>
                <w:szCs w:val="20"/>
              </w:rPr>
            </w:pPr>
            <w:r w:rsidRPr="00BA0B41">
              <w:rPr>
                <w:rFonts w:ascii="Times New Roman" w:eastAsia="MS Gothic" w:hAnsi="Times New Roman"/>
                <w:b/>
                <w:sz w:val="20"/>
                <w:szCs w:val="20"/>
              </w:rPr>
              <w:t>Подпись клиента (уполномоченного представителя)</w:t>
            </w:r>
          </w:p>
        </w:tc>
        <w:tc>
          <w:tcPr>
            <w:tcW w:w="2693" w:type="dxa"/>
            <w:vMerge w:val="restart"/>
            <w:shd w:val="clear" w:color="auto" w:fill="auto"/>
          </w:tcPr>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rPr>
                <w:rFonts w:ascii="Times New Roman" w:hAnsi="Times New Roman"/>
                <w:b/>
                <w:sz w:val="20"/>
                <w:szCs w:val="20"/>
              </w:rPr>
            </w:pPr>
          </w:p>
          <w:p w:rsidR="00FB3AEA" w:rsidRPr="00BA0B41" w:rsidRDefault="00FB3AEA" w:rsidP="00BA0B41">
            <w:pPr>
              <w:spacing w:after="0" w:line="240" w:lineRule="auto"/>
              <w:jc w:val="center"/>
              <w:rPr>
                <w:rFonts w:ascii="Times New Roman" w:hAnsi="Times New Roman"/>
                <w:b/>
                <w:sz w:val="20"/>
                <w:szCs w:val="20"/>
              </w:rPr>
            </w:pPr>
            <w:r w:rsidRPr="00BA0B41">
              <w:rPr>
                <w:rFonts w:ascii="Times New Roman" w:eastAsia="MS Gothic" w:hAnsi="Times New Roman"/>
                <w:sz w:val="20"/>
                <w:szCs w:val="20"/>
              </w:rPr>
              <w:t>Печать</w:t>
            </w:r>
            <w:r w:rsidR="003C2676" w:rsidRPr="00BA0B41">
              <w:rPr>
                <w:rFonts w:ascii="Times New Roman" w:eastAsia="MS Gothic" w:hAnsi="Times New Roman"/>
                <w:sz w:val="20"/>
                <w:szCs w:val="20"/>
              </w:rPr>
              <w:t xml:space="preserve"> (при наличии)</w:t>
            </w:r>
          </w:p>
        </w:tc>
      </w:tr>
      <w:tr w:rsidR="00FB3AEA" w:rsidRPr="00BA0B41" w:rsidTr="00BA0B41">
        <w:trPr>
          <w:trHeight w:val="224"/>
        </w:trPr>
        <w:tc>
          <w:tcPr>
            <w:tcW w:w="2694" w:type="dxa"/>
            <w:shd w:val="clear" w:color="auto" w:fill="auto"/>
            <w:vAlign w:val="center"/>
          </w:tcPr>
          <w:p w:rsidR="00FB3AEA" w:rsidRPr="00BA0B41" w:rsidRDefault="00FB3AEA" w:rsidP="00BA0B41">
            <w:pPr>
              <w:spacing w:after="0" w:line="240" w:lineRule="auto"/>
              <w:rPr>
                <w:rFonts w:ascii="Times New Roman" w:hAnsi="Times New Roman"/>
                <w:b/>
                <w:sz w:val="20"/>
                <w:szCs w:val="20"/>
              </w:rPr>
            </w:pPr>
            <w:r w:rsidRPr="00BA0B41">
              <w:rPr>
                <w:rFonts w:ascii="Times New Roman" w:eastAsia="MS Gothic" w:hAnsi="Times New Roman"/>
                <w:sz w:val="20"/>
                <w:szCs w:val="20"/>
              </w:rPr>
              <w:t>ФИО:</w:t>
            </w:r>
          </w:p>
        </w:tc>
        <w:tc>
          <w:tcPr>
            <w:tcW w:w="4536" w:type="dxa"/>
            <w:shd w:val="clear" w:color="auto" w:fill="auto"/>
            <w:vAlign w:val="center"/>
          </w:tcPr>
          <w:p w:rsidR="00FB3AEA" w:rsidRPr="00BA0B41" w:rsidRDefault="00FB3AEA" w:rsidP="00BA0B41">
            <w:pPr>
              <w:spacing w:after="0" w:line="240" w:lineRule="auto"/>
              <w:rPr>
                <w:rFonts w:ascii="Times New Roman" w:hAnsi="Times New Roman"/>
                <w:b/>
                <w:sz w:val="20"/>
                <w:szCs w:val="20"/>
              </w:rPr>
            </w:pPr>
          </w:p>
        </w:tc>
        <w:tc>
          <w:tcPr>
            <w:tcW w:w="2693" w:type="dxa"/>
            <w:vMerge/>
            <w:shd w:val="clear" w:color="auto" w:fill="auto"/>
          </w:tcPr>
          <w:p w:rsidR="00FB3AEA" w:rsidRPr="00BA0B41" w:rsidRDefault="00FB3AEA" w:rsidP="00BA0B41">
            <w:pPr>
              <w:spacing w:after="0" w:line="240" w:lineRule="auto"/>
              <w:jc w:val="center"/>
              <w:rPr>
                <w:rFonts w:ascii="Times New Roman" w:hAnsi="Times New Roman"/>
                <w:b/>
                <w:sz w:val="20"/>
                <w:szCs w:val="20"/>
              </w:rPr>
            </w:pPr>
          </w:p>
        </w:tc>
      </w:tr>
      <w:tr w:rsidR="00FB3AEA" w:rsidRPr="00BA0B41" w:rsidTr="00BA0B41">
        <w:trPr>
          <w:trHeight w:val="70"/>
        </w:trPr>
        <w:tc>
          <w:tcPr>
            <w:tcW w:w="7230" w:type="dxa"/>
            <w:gridSpan w:val="2"/>
            <w:shd w:val="clear" w:color="auto" w:fill="auto"/>
          </w:tcPr>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eastAsia="MS Gothic" w:hAnsi="Times New Roman"/>
                <w:sz w:val="20"/>
                <w:szCs w:val="20"/>
              </w:rPr>
            </w:pPr>
          </w:p>
          <w:p w:rsidR="00FB3AEA" w:rsidRPr="00BA0B41" w:rsidRDefault="00FB3AEA" w:rsidP="00BA0B41">
            <w:pPr>
              <w:spacing w:after="0" w:line="240" w:lineRule="auto"/>
              <w:jc w:val="center"/>
              <w:rPr>
                <w:rFonts w:ascii="Times New Roman" w:hAnsi="Times New Roman"/>
                <w:b/>
                <w:sz w:val="20"/>
                <w:szCs w:val="20"/>
              </w:rPr>
            </w:pPr>
            <w:r w:rsidRPr="00BA0B41">
              <w:rPr>
                <w:rFonts w:ascii="Times New Roman" w:eastAsia="MS Gothic" w:hAnsi="Times New Roman"/>
                <w:sz w:val="20"/>
                <w:szCs w:val="20"/>
              </w:rPr>
              <w:t>Подпись</w:t>
            </w:r>
          </w:p>
        </w:tc>
        <w:tc>
          <w:tcPr>
            <w:tcW w:w="2693" w:type="dxa"/>
            <w:vMerge/>
            <w:shd w:val="clear" w:color="auto" w:fill="auto"/>
          </w:tcPr>
          <w:p w:rsidR="00FB3AEA" w:rsidRPr="00BA0B41" w:rsidRDefault="00FB3AEA" w:rsidP="00BA0B41">
            <w:pPr>
              <w:spacing w:after="0" w:line="240" w:lineRule="auto"/>
              <w:jc w:val="center"/>
              <w:rPr>
                <w:rFonts w:ascii="Times New Roman" w:eastAsia="MS Gothic" w:hAnsi="Times New Roman"/>
                <w:sz w:val="20"/>
                <w:szCs w:val="20"/>
              </w:rPr>
            </w:pPr>
          </w:p>
        </w:tc>
      </w:tr>
    </w:tbl>
    <w:p w:rsidR="00FB3AEA" w:rsidRPr="00BA0B41" w:rsidRDefault="00FB3AEA" w:rsidP="003D7E2E">
      <w:pPr>
        <w:spacing w:after="0" w:line="240" w:lineRule="auto"/>
        <w:rPr>
          <w:rFonts w:ascii="Times New Roman" w:hAnsi="Times New Roman"/>
          <w:sz w:val="20"/>
          <w:szCs w:val="20"/>
        </w:rPr>
      </w:pPr>
    </w:p>
    <w:sectPr w:rsidR="00FB3AEA" w:rsidRPr="00BA0B41" w:rsidSect="00BA0B41">
      <w:footerReference w:type="default" r:id="rId9"/>
      <w:footnotePr>
        <w:pos w:val="beneathText"/>
        <w:numRestart w:val="eachSect"/>
      </w:footnotePr>
      <w:endnotePr>
        <w:numFmt w:val="decimal"/>
      </w:endnotePr>
      <w:pgSz w:w="11906" w:h="16838"/>
      <w:pgMar w:top="568" w:right="850" w:bottom="1560"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31" w:rsidRDefault="008F2031" w:rsidP="00BA3898">
      <w:pPr>
        <w:spacing w:after="0" w:line="240" w:lineRule="auto"/>
      </w:pPr>
      <w:r>
        <w:separator/>
      </w:r>
    </w:p>
  </w:endnote>
  <w:endnote w:type="continuationSeparator" w:id="0">
    <w:p w:rsidR="008F2031" w:rsidRDefault="008F2031" w:rsidP="00BA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tblW w:w="9923" w:type="dxa"/>
      <w:tblInd w:w="-5" w:type="dxa"/>
      <w:tblLook w:val="04A0" w:firstRow="1" w:lastRow="0" w:firstColumn="1" w:lastColumn="0" w:noHBand="0" w:noVBand="1"/>
    </w:tblPr>
    <w:tblGrid>
      <w:gridCol w:w="4677"/>
      <w:gridCol w:w="5246"/>
    </w:tblGrid>
    <w:tr w:rsidR="004C66E0" w:rsidRPr="00E11D62" w:rsidTr="00BA0B41">
      <w:tc>
        <w:tcPr>
          <w:tcW w:w="4677" w:type="dxa"/>
        </w:tcPr>
        <w:p w:rsidR="004C66E0" w:rsidRPr="00E11D62" w:rsidRDefault="004C66E0" w:rsidP="00E11D62">
          <w:pPr>
            <w:pStyle w:val="ae"/>
            <w:jc w:val="center"/>
            <w:rPr>
              <w:rFonts w:ascii="Tahoma" w:hAnsi="Tahoma" w:cs="Tahoma"/>
              <w:sz w:val="12"/>
              <w:szCs w:val="12"/>
            </w:rPr>
          </w:pPr>
        </w:p>
      </w:tc>
      <w:tc>
        <w:tcPr>
          <w:tcW w:w="5246" w:type="dxa"/>
        </w:tcPr>
        <w:p w:rsidR="004C66E0" w:rsidRPr="00E11D62" w:rsidRDefault="004C66E0" w:rsidP="00E11D62">
          <w:pPr>
            <w:pStyle w:val="ae"/>
            <w:jc w:val="center"/>
            <w:rPr>
              <w:rFonts w:ascii="Tahoma" w:hAnsi="Tahoma" w:cs="Tahoma"/>
              <w:sz w:val="12"/>
              <w:szCs w:val="12"/>
            </w:rPr>
          </w:pPr>
        </w:p>
      </w:tc>
    </w:tr>
    <w:tr w:rsidR="004C66E0" w:rsidRPr="00E11D62" w:rsidTr="00BA0B41">
      <w:tc>
        <w:tcPr>
          <w:tcW w:w="4677" w:type="dxa"/>
          <w:vAlign w:val="center"/>
        </w:tcPr>
        <w:p w:rsidR="004C66E0" w:rsidRPr="00E11D62" w:rsidRDefault="004C66E0" w:rsidP="00E11D62">
          <w:pPr>
            <w:pStyle w:val="ae"/>
            <w:jc w:val="center"/>
            <w:rPr>
              <w:rFonts w:ascii="Tahoma" w:hAnsi="Tahoma" w:cs="Tahoma"/>
              <w:sz w:val="12"/>
              <w:szCs w:val="12"/>
            </w:rPr>
          </w:pPr>
          <w:r w:rsidRPr="00E11D62">
            <w:rPr>
              <w:rFonts w:ascii="Tahoma" w:hAnsi="Tahoma" w:cs="Tahoma"/>
              <w:sz w:val="12"/>
              <w:szCs w:val="12"/>
            </w:rPr>
            <w:t>Наименование/ ФИО</w:t>
          </w:r>
        </w:p>
      </w:tc>
      <w:tc>
        <w:tcPr>
          <w:tcW w:w="5246" w:type="dxa"/>
          <w:vAlign w:val="center"/>
        </w:tcPr>
        <w:p w:rsidR="004C66E0" w:rsidRPr="00E11D62" w:rsidRDefault="004C66E0" w:rsidP="00E11D62">
          <w:pPr>
            <w:pStyle w:val="ae"/>
            <w:jc w:val="center"/>
            <w:rPr>
              <w:rFonts w:ascii="Tahoma" w:hAnsi="Tahoma" w:cs="Tahoma"/>
              <w:sz w:val="12"/>
              <w:szCs w:val="12"/>
            </w:rPr>
          </w:pPr>
          <w:r w:rsidRPr="00E11D62">
            <w:rPr>
              <w:rFonts w:ascii="Tahoma" w:hAnsi="Tahoma" w:cs="Tahoma"/>
              <w:sz w:val="12"/>
              <w:szCs w:val="12"/>
            </w:rPr>
            <w:t>Подпись</w:t>
          </w:r>
        </w:p>
      </w:tc>
    </w:tr>
  </w:tbl>
  <w:p w:rsidR="004C66E0" w:rsidRPr="00E11D62" w:rsidRDefault="004C66E0" w:rsidP="00BA0B41">
    <w:pPr>
      <w:pStyle w:val="a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31" w:rsidRDefault="008F2031" w:rsidP="00BA3898">
      <w:pPr>
        <w:spacing w:after="0" w:line="240" w:lineRule="auto"/>
      </w:pPr>
      <w:r>
        <w:separator/>
      </w:r>
    </w:p>
  </w:footnote>
  <w:footnote w:type="continuationSeparator" w:id="0">
    <w:p w:rsidR="008F2031" w:rsidRDefault="008F2031" w:rsidP="00BA3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0AC"/>
    <w:multiLevelType w:val="hybridMultilevel"/>
    <w:tmpl w:val="F2682B22"/>
    <w:lvl w:ilvl="0" w:tplc="2F88C03A">
      <w:start w:val="1"/>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2A345E0"/>
    <w:multiLevelType w:val="hybridMultilevel"/>
    <w:tmpl w:val="AF98DB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44EEB"/>
    <w:multiLevelType w:val="hybridMultilevel"/>
    <w:tmpl w:val="641C1D10"/>
    <w:lvl w:ilvl="0" w:tplc="3C609CE8">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B378DC"/>
    <w:multiLevelType w:val="multilevel"/>
    <w:tmpl w:val="EBC8FFD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2498"/>
        </w:tabs>
        <w:ind w:left="2498" w:hanging="1080"/>
      </w:pPr>
      <w:rPr>
        <w:rFont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F920A62"/>
    <w:multiLevelType w:val="hybridMultilevel"/>
    <w:tmpl w:val="F2148CCC"/>
    <w:lvl w:ilvl="0" w:tplc="0B0C50BC">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E548AF"/>
    <w:multiLevelType w:val="hybridMultilevel"/>
    <w:tmpl w:val="2402D77E"/>
    <w:lvl w:ilvl="0" w:tplc="04190005">
      <w:start w:val="1"/>
      <w:numFmt w:val="bullet"/>
      <w:lvlText w:val=""/>
      <w:lvlJc w:val="left"/>
      <w:pPr>
        <w:tabs>
          <w:tab w:val="num" w:pos="1356"/>
        </w:tabs>
        <w:ind w:left="1356" w:hanging="360"/>
      </w:pPr>
      <w:rPr>
        <w:rFonts w:ascii="Wingdings" w:hAnsi="Wingdings" w:hint="default"/>
      </w:rPr>
    </w:lvl>
    <w:lvl w:ilvl="1" w:tplc="04190003">
      <w:start w:val="1"/>
      <w:numFmt w:val="bullet"/>
      <w:lvlText w:val="o"/>
      <w:lvlJc w:val="left"/>
      <w:pPr>
        <w:tabs>
          <w:tab w:val="num" w:pos="2076"/>
        </w:tabs>
        <w:ind w:left="2076" w:hanging="360"/>
      </w:pPr>
      <w:rPr>
        <w:rFonts w:ascii="Courier New" w:hAnsi="Courier New" w:cs="Courier New" w:hint="default"/>
      </w:r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6" w15:restartNumberingAfterBreak="0">
    <w:nsid w:val="23441436"/>
    <w:multiLevelType w:val="hybridMultilevel"/>
    <w:tmpl w:val="05B8AFCE"/>
    <w:lvl w:ilvl="0" w:tplc="199CC64C">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9D1A95"/>
    <w:multiLevelType w:val="hybridMultilevel"/>
    <w:tmpl w:val="6D90A47C"/>
    <w:lvl w:ilvl="0" w:tplc="C6CAAA06">
      <w:start w:val="1"/>
      <w:numFmt w:val="decimal"/>
      <w:lvlText w:val="%1."/>
      <w:lvlJc w:val="left"/>
      <w:pPr>
        <w:ind w:left="720" w:hanging="360"/>
      </w:pPr>
      <w:rPr>
        <w:rFonts w:hint="default"/>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D1436"/>
    <w:multiLevelType w:val="hybridMultilevel"/>
    <w:tmpl w:val="3490CF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167C3"/>
    <w:multiLevelType w:val="hybridMultilevel"/>
    <w:tmpl w:val="61F08870"/>
    <w:lvl w:ilvl="0" w:tplc="E1F6189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761F84"/>
    <w:multiLevelType w:val="hybridMultilevel"/>
    <w:tmpl w:val="2FF40A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421FA2"/>
    <w:multiLevelType w:val="hybridMultilevel"/>
    <w:tmpl w:val="77F69742"/>
    <w:lvl w:ilvl="0" w:tplc="60F62A22">
      <w:start w:val="1"/>
      <w:numFmt w:val="decimal"/>
      <w:lvlText w:val="%1."/>
      <w:lvlJc w:val="left"/>
      <w:pPr>
        <w:ind w:left="394" w:hanging="360"/>
      </w:pPr>
      <w:rPr>
        <w:rFonts w:hint="default"/>
        <w:b/>
        <w:sz w:val="16"/>
        <w:szCs w:val="1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413E3648"/>
    <w:multiLevelType w:val="hybridMultilevel"/>
    <w:tmpl w:val="3B28E008"/>
    <w:lvl w:ilvl="0" w:tplc="467452A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4146C"/>
    <w:multiLevelType w:val="hybridMultilevel"/>
    <w:tmpl w:val="34C269D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8442D07"/>
    <w:multiLevelType w:val="hybridMultilevel"/>
    <w:tmpl w:val="1E4CB902"/>
    <w:lvl w:ilvl="0" w:tplc="E1F618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D00FA"/>
    <w:multiLevelType w:val="hybridMultilevel"/>
    <w:tmpl w:val="1BF25E48"/>
    <w:lvl w:ilvl="0" w:tplc="0B2C00E2">
      <w:start w:val="1"/>
      <w:numFmt w:val="upperLetter"/>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6" w15:restartNumberingAfterBreak="0">
    <w:nsid w:val="526231B8"/>
    <w:multiLevelType w:val="multilevel"/>
    <w:tmpl w:val="FF0E61CC"/>
    <w:lvl w:ilvl="0">
      <w:start w:val="1"/>
      <w:numFmt w:val="decimal"/>
      <w:lvlText w:val="%1."/>
      <w:lvlJc w:val="left"/>
      <w:pPr>
        <w:ind w:left="720" w:hanging="360"/>
      </w:pPr>
      <w:rPr>
        <w:rFonts w:hint="default"/>
        <w:b w:val="0"/>
        <w:sz w:val="18"/>
        <w:szCs w:val="18"/>
      </w:rPr>
    </w:lvl>
    <w:lvl w:ilvl="1">
      <w:start w:val="1"/>
      <w:numFmt w:val="decimal"/>
      <w:isLgl/>
      <w:lvlText w:val="%1.%2."/>
      <w:lvlJc w:val="left"/>
      <w:pPr>
        <w:ind w:left="1080" w:hanging="720"/>
      </w:pPr>
      <w:rPr>
        <w:rFonts w:hint="default"/>
        <w:i w:val="0"/>
        <w:sz w:val="18"/>
        <w:szCs w:val="1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FD00B0"/>
    <w:multiLevelType w:val="hybridMultilevel"/>
    <w:tmpl w:val="4D7AD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FA78A5"/>
    <w:multiLevelType w:val="hybridMultilevel"/>
    <w:tmpl w:val="6A72F7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88004A"/>
    <w:multiLevelType w:val="hybridMultilevel"/>
    <w:tmpl w:val="DBDE7260"/>
    <w:lvl w:ilvl="0" w:tplc="1CFC5F8C">
      <w:start w:val="2"/>
      <w:numFmt w:val="lowerLetter"/>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6F682660"/>
    <w:multiLevelType w:val="hybridMultilevel"/>
    <w:tmpl w:val="E676BF2E"/>
    <w:lvl w:ilvl="0" w:tplc="04190005">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15:restartNumberingAfterBreak="0">
    <w:nsid w:val="76EA32BF"/>
    <w:multiLevelType w:val="hybridMultilevel"/>
    <w:tmpl w:val="C8B66698"/>
    <w:lvl w:ilvl="0" w:tplc="38C07346">
      <w:start w:val="1"/>
      <w:numFmt w:val="upperRoman"/>
      <w:lvlText w:val="%1."/>
      <w:lvlJc w:val="right"/>
      <w:pPr>
        <w:ind w:left="771" w:hanging="360"/>
      </w:pPr>
      <w:rPr>
        <w:b/>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2" w15:restartNumberingAfterBreak="0">
    <w:nsid w:val="7991710E"/>
    <w:multiLevelType w:val="hybridMultilevel"/>
    <w:tmpl w:val="D8F2743A"/>
    <w:lvl w:ilvl="0" w:tplc="04190005">
      <w:start w:val="1"/>
      <w:numFmt w:val="bullet"/>
      <w:lvlText w:val=""/>
      <w:lvlJc w:val="left"/>
      <w:pPr>
        <w:ind w:left="4122" w:hanging="360"/>
      </w:pPr>
      <w:rPr>
        <w:rFonts w:ascii="Wingdings" w:hAnsi="Wingdings" w:hint="default"/>
      </w:rPr>
    </w:lvl>
    <w:lvl w:ilvl="1" w:tplc="04190003" w:tentative="1">
      <w:start w:val="1"/>
      <w:numFmt w:val="bullet"/>
      <w:lvlText w:val="o"/>
      <w:lvlJc w:val="left"/>
      <w:pPr>
        <w:ind w:left="4842" w:hanging="360"/>
      </w:pPr>
      <w:rPr>
        <w:rFonts w:ascii="Courier New" w:hAnsi="Courier New" w:cs="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cs="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cs="Courier New" w:hint="default"/>
      </w:rPr>
    </w:lvl>
    <w:lvl w:ilvl="8" w:tplc="04190005" w:tentative="1">
      <w:start w:val="1"/>
      <w:numFmt w:val="bullet"/>
      <w:lvlText w:val=""/>
      <w:lvlJc w:val="left"/>
      <w:pPr>
        <w:ind w:left="9882" w:hanging="360"/>
      </w:pPr>
      <w:rPr>
        <w:rFonts w:ascii="Wingdings" w:hAnsi="Wingdings" w:hint="default"/>
      </w:rPr>
    </w:lvl>
  </w:abstractNum>
  <w:num w:numId="1">
    <w:abstractNumId w:val="16"/>
  </w:num>
  <w:num w:numId="2">
    <w:abstractNumId w:val="4"/>
  </w:num>
  <w:num w:numId="3">
    <w:abstractNumId w:val="3"/>
  </w:num>
  <w:num w:numId="4">
    <w:abstractNumId w:val="6"/>
  </w:num>
  <w:num w:numId="5">
    <w:abstractNumId w:val="2"/>
  </w:num>
  <w:num w:numId="6">
    <w:abstractNumId w:val="13"/>
  </w:num>
  <w:num w:numId="7">
    <w:abstractNumId w:val="5"/>
  </w:num>
  <w:num w:numId="8">
    <w:abstractNumId w:val="8"/>
  </w:num>
  <w:num w:numId="9">
    <w:abstractNumId w:val="1"/>
  </w:num>
  <w:num w:numId="10">
    <w:abstractNumId w:val="15"/>
  </w:num>
  <w:num w:numId="11">
    <w:abstractNumId w:val="22"/>
  </w:num>
  <w:num w:numId="12">
    <w:abstractNumId w:val="7"/>
  </w:num>
  <w:num w:numId="13">
    <w:abstractNumId w:val="0"/>
  </w:num>
  <w:num w:numId="14">
    <w:abstractNumId w:val="20"/>
  </w:num>
  <w:num w:numId="15">
    <w:abstractNumId w:val="19"/>
  </w:num>
  <w:num w:numId="16">
    <w:abstractNumId w:val="10"/>
  </w:num>
  <w:num w:numId="17">
    <w:abstractNumId w:val="17"/>
  </w:num>
  <w:num w:numId="18">
    <w:abstractNumId w:val="21"/>
  </w:num>
  <w:num w:numId="19">
    <w:abstractNumId w:val="12"/>
  </w:num>
  <w:num w:numId="20">
    <w:abstractNumId w:val="18"/>
  </w:num>
  <w:num w:numId="21">
    <w:abstractNumId w:val="9"/>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hdrShapeDefaults>
    <o:shapedefaults v:ext="edit" spidmax="20481"/>
  </w:hdrShapeDefaults>
  <w:footnotePr>
    <w:pos w:val="beneathText"/>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45"/>
    <w:rsid w:val="00001E0F"/>
    <w:rsid w:val="000103F6"/>
    <w:rsid w:val="00010C68"/>
    <w:rsid w:val="0001185A"/>
    <w:rsid w:val="00014760"/>
    <w:rsid w:val="00016703"/>
    <w:rsid w:val="00016DB7"/>
    <w:rsid w:val="000178D4"/>
    <w:rsid w:val="000235D1"/>
    <w:rsid w:val="00024227"/>
    <w:rsid w:val="0002435E"/>
    <w:rsid w:val="00024BB7"/>
    <w:rsid w:val="000329E8"/>
    <w:rsid w:val="00032B5D"/>
    <w:rsid w:val="00032E8B"/>
    <w:rsid w:val="0003645C"/>
    <w:rsid w:val="0004214D"/>
    <w:rsid w:val="00043EDB"/>
    <w:rsid w:val="000448CE"/>
    <w:rsid w:val="00045B4D"/>
    <w:rsid w:val="0005386A"/>
    <w:rsid w:val="0005415C"/>
    <w:rsid w:val="000567F1"/>
    <w:rsid w:val="0006456E"/>
    <w:rsid w:val="000660EF"/>
    <w:rsid w:val="000722AD"/>
    <w:rsid w:val="00074749"/>
    <w:rsid w:val="00075164"/>
    <w:rsid w:val="00085FEF"/>
    <w:rsid w:val="0009334B"/>
    <w:rsid w:val="00094C31"/>
    <w:rsid w:val="000B01D6"/>
    <w:rsid w:val="000B3534"/>
    <w:rsid w:val="000B3BD2"/>
    <w:rsid w:val="000B6B66"/>
    <w:rsid w:val="000C2158"/>
    <w:rsid w:val="000C5A50"/>
    <w:rsid w:val="000C7491"/>
    <w:rsid w:val="000D19F0"/>
    <w:rsid w:val="000D2B55"/>
    <w:rsid w:val="000D7751"/>
    <w:rsid w:val="000E64AA"/>
    <w:rsid w:val="000F0224"/>
    <w:rsid w:val="00100828"/>
    <w:rsid w:val="00110709"/>
    <w:rsid w:val="00112F8D"/>
    <w:rsid w:val="001148B7"/>
    <w:rsid w:val="0012076B"/>
    <w:rsid w:val="00123177"/>
    <w:rsid w:val="001246EF"/>
    <w:rsid w:val="0014210D"/>
    <w:rsid w:val="00147D2E"/>
    <w:rsid w:val="001517CD"/>
    <w:rsid w:val="00151955"/>
    <w:rsid w:val="00156D13"/>
    <w:rsid w:val="00175A1A"/>
    <w:rsid w:val="001775BE"/>
    <w:rsid w:val="00180C26"/>
    <w:rsid w:val="00182B94"/>
    <w:rsid w:val="001839ED"/>
    <w:rsid w:val="00191808"/>
    <w:rsid w:val="00194152"/>
    <w:rsid w:val="001A1333"/>
    <w:rsid w:val="001A2373"/>
    <w:rsid w:val="001A4957"/>
    <w:rsid w:val="001A680C"/>
    <w:rsid w:val="001A73F2"/>
    <w:rsid w:val="001A796C"/>
    <w:rsid w:val="001B4244"/>
    <w:rsid w:val="001B7E8E"/>
    <w:rsid w:val="001C00EC"/>
    <w:rsid w:val="001D2661"/>
    <w:rsid w:val="001D2EE5"/>
    <w:rsid w:val="001D2FAB"/>
    <w:rsid w:val="001D3AA8"/>
    <w:rsid w:val="001D6ABC"/>
    <w:rsid w:val="001E0A9C"/>
    <w:rsid w:val="001E5B33"/>
    <w:rsid w:val="001F09F3"/>
    <w:rsid w:val="001F6474"/>
    <w:rsid w:val="001F6D1E"/>
    <w:rsid w:val="00202E7E"/>
    <w:rsid w:val="002039BD"/>
    <w:rsid w:val="002053D5"/>
    <w:rsid w:val="00205AD7"/>
    <w:rsid w:val="00206065"/>
    <w:rsid w:val="00210869"/>
    <w:rsid w:val="00213D47"/>
    <w:rsid w:val="00236625"/>
    <w:rsid w:val="00240F35"/>
    <w:rsid w:val="00241AC8"/>
    <w:rsid w:val="00242441"/>
    <w:rsid w:val="00243C9C"/>
    <w:rsid w:val="00246268"/>
    <w:rsid w:val="00246B3B"/>
    <w:rsid w:val="002563C6"/>
    <w:rsid w:val="00256E7C"/>
    <w:rsid w:val="0025761F"/>
    <w:rsid w:val="00266D53"/>
    <w:rsid w:val="00267B82"/>
    <w:rsid w:val="00290AD4"/>
    <w:rsid w:val="002A24E0"/>
    <w:rsid w:val="002A4D7E"/>
    <w:rsid w:val="002B2D00"/>
    <w:rsid w:val="002B3192"/>
    <w:rsid w:val="002B4A75"/>
    <w:rsid w:val="002B561A"/>
    <w:rsid w:val="002B57C8"/>
    <w:rsid w:val="002C7C38"/>
    <w:rsid w:val="002C7F05"/>
    <w:rsid w:val="002D1365"/>
    <w:rsid w:val="002E301A"/>
    <w:rsid w:val="002E431B"/>
    <w:rsid w:val="002E6071"/>
    <w:rsid w:val="002E6206"/>
    <w:rsid w:val="002E66C5"/>
    <w:rsid w:val="002E7DC7"/>
    <w:rsid w:val="002F29B1"/>
    <w:rsid w:val="002F4E84"/>
    <w:rsid w:val="0030029B"/>
    <w:rsid w:val="00300B34"/>
    <w:rsid w:val="00302755"/>
    <w:rsid w:val="00310BE2"/>
    <w:rsid w:val="00316A9C"/>
    <w:rsid w:val="0032056C"/>
    <w:rsid w:val="00320840"/>
    <w:rsid w:val="00324552"/>
    <w:rsid w:val="00331D50"/>
    <w:rsid w:val="00334FFD"/>
    <w:rsid w:val="003377EC"/>
    <w:rsid w:val="00342B60"/>
    <w:rsid w:val="00343909"/>
    <w:rsid w:val="00350023"/>
    <w:rsid w:val="003562E4"/>
    <w:rsid w:val="0035691D"/>
    <w:rsid w:val="00360978"/>
    <w:rsid w:val="00367D4B"/>
    <w:rsid w:val="00370BFE"/>
    <w:rsid w:val="00375EB7"/>
    <w:rsid w:val="00382C01"/>
    <w:rsid w:val="00382DCC"/>
    <w:rsid w:val="003843FF"/>
    <w:rsid w:val="003869A4"/>
    <w:rsid w:val="00390F42"/>
    <w:rsid w:val="0039214A"/>
    <w:rsid w:val="00394978"/>
    <w:rsid w:val="003A0CF3"/>
    <w:rsid w:val="003A1FC9"/>
    <w:rsid w:val="003A22B7"/>
    <w:rsid w:val="003A767D"/>
    <w:rsid w:val="003A7EFE"/>
    <w:rsid w:val="003B44A5"/>
    <w:rsid w:val="003B66D2"/>
    <w:rsid w:val="003C2676"/>
    <w:rsid w:val="003D275B"/>
    <w:rsid w:val="003D620B"/>
    <w:rsid w:val="003D7E2E"/>
    <w:rsid w:val="003E09CC"/>
    <w:rsid w:val="003E58EE"/>
    <w:rsid w:val="003F09CF"/>
    <w:rsid w:val="003F25C9"/>
    <w:rsid w:val="003F34E4"/>
    <w:rsid w:val="003F5628"/>
    <w:rsid w:val="003F6F0D"/>
    <w:rsid w:val="004064B9"/>
    <w:rsid w:val="004122BE"/>
    <w:rsid w:val="00415D6D"/>
    <w:rsid w:val="00422EDC"/>
    <w:rsid w:val="00425FAB"/>
    <w:rsid w:val="004267D1"/>
    <w:rsid w:val="00434A4C"/>
    <w:rsid w:val="00435A24"/>
    <w:rsid w:val="0044490D"/>
    <w:rsid w:val="00451982"/>
    <w:rsid w:val="00462508"/>
    <w:rsid w:val="00462764"/>
    <w:rsid w:val="004664A2"/>
    <w:rsid w:val="00473019"/>
    <w:rsid w:val="00474338"/>
    <w:rsid w:val="00474AC0"/>
    <w:rsid w:val="00475BCB"/>
    <w:rsid w:val="00476C79"/>
    <w:rsid w:val="00480A36"/>
    <w:rsid w:val="0048556E"/>
    <w:rsid w:val="00485F9D"/>
    <w:rsid w:val="00491C9F"/>
    <w:rsid w:val="004936BA"/>
    <w:rsid w:val="00497D13"/>
    <w:rsid w:val="00497D3A"/>
    <w:rsid w:val="004A01DC"/>
    <w:rsid w:val="004A3A47"/>
    <w:rsid w:val="004B101E"/>
    <w:rsid w:val="004C06FB"/>
    <w:rsid w:val="004C3A99"/>
    <w:rsid w:val="004C66E0"/>
    <w:rsid w:val="004C7B2F"/>
    <w:rsid w:val="004C7FE8"/>
    <w:rsid w:val="004D073F"/>
    <w:rsid w:val="004D1273"/>
    <w:rsid w:val="004D1F6D"/>
    <w:rsid w:val="004D3232"/>
    <w:rsid w:val="004E50C4"/>
    <w:rsid w:val="004F0132"/>
    <w:rsid w:val="004F3ACF"/>
    <w:rsid w:val="004F61DB"/>
    <w:rsid w:val="00500A57"/>
    <w:rsid w:val="00501132"/>
    <w:rsid w:val="00511842"/>
    <w:rsid w:val="00513B1A"/>
    <w:rsid w:val="005143BF"/>
    <w:rsid w:val="00525E97"/>
    <w:rsid w:val="005272D0"/>
    <w:rsid w:val="00530C5D"/>
    <w:rsid w:val="00541029"/>
    <w:rsid w:val="00563997"/>
    <w:rsid w:val="00566BF8"/>
    <w:rsid w:val="0057045B"/>
    <w:rsid w:val="00581CF1"/>
    <w:rsid w:val="005857CC"/>
    <w:rsid w:val="00586AA1"/>
    <w:rsid w:val="00590307"/>
    <w:rsid w:val="005A0CF3"/>
    <w:rsid w:val="005A78A6"/>
    <w:rsid w:val="005B2B33"/>
    <w:rsid w:val="005B425C"/>
    <w:rsid w:val="005B57F0"/>
    <w:rsid w:val="005B67ED"/>
    <w:rsid w:val="005B7829"/>
    <w:rsid w:val="005C4CC9"/>
    <w:rsid w:val="005D3F14"/>
    <w:rsid w:val="005D58B5"/>
    <w:rsid w:val="005E02F8"/>
    <w:rsid w:val="005E2784"/>
    <w:rsid w:val="005E3D2E"/>
    <w:rsid w:val="005E7DA8"/>
    <w:rsid w:val="005F6368"/>
    <w:rsid w:val="006026BB"/>
    <w:rsid w:val="006035B2"/>
    <w:rsid w:val="00604531"/>
    <w:rsid w:val="00607F94"/>
    <w:rsid w:val="006115AA"/>
    <w:rsid w:val="006168DE"/>
    <w:rsid w:val="0062353E"/>
    <w:rsid w:val="0062516F"/>
    <w:rsid w:val="006261B0"/>
    <w:rsid w:val="00634917"/>
    <w:rsid w:val="00636B8D"/>
    <w:rsid w:val="006404E1"/>
    <w:rsid w:val="0064318C"/>
    <w:rsid w:val="00650CE1"/>
    <w:rsid w:val="00654BDB"/>
    <w:rsid w:val="006579BE"/>
    <w:rsid w:val="0066163F"/>
    <w:rsid w:val="00661684"/>
    <w:rsid w:val="00662545"/>
    <w:rsid w:val="006725FF"/>
    <w:rsid w:val="00674C27"/>
    <w:rsid w:val="00681371"/>
    <w:rsid w:val="0068177D"/>
    <w:rsid w:val="00694866"/>
    <w:rsid w:val="00695DBF"/>
    <w:rsid w:val="00697C69"/>
    <w:rsid w:val="006A0900"/>
    <w:rsid w:val="006A19E6"/>
    <w:rsid w:val="006A38A3"/>
    <w:rsid w:val="006A4D1F"/>
    <w:rsid w:val="006B24A3"/>
    <w:rsid w:val="006B47EC"/>
    <w:rsid w:val="006B60B8"/>
    <w:rsid w:val="006B711E"/>
    <w:rsid w:val="006C1019"/>
    <w:rsid w:val="006C1A9F"/>
    <w:rsid w:val="006C2825"/>
    <w:rsid w:val="006C75C3"/>
    <w:rsid w:val="006D70B4"/>
    <w:rsid w:val="006E1734"/>
    <w:rsid w:val="006E3464"/>
    <w:rsid w:val="006E5861"/>
    <w:rsid w:val="006E65AD"/>
    <w:rsid w:val="006E7C73"/>
    <w:rsid w:val="006F1629"/>
    <w:rsid w:val="006F7136"/>
    <w:rsid w:val="00706614"/>
    <w:rsid w:val="00730F5B"/>
    <w:rsid w:val="00731114"/>
    <w:rsid w:val="00732671"/>
    <w:rsid w:val="0073508F"/>
    <w:rsid w:val="007377E6"/>
    <w:rsid w:val="007433EA"/>
    <w:rsid w:val="00747CD0"/>
    <w:rsid w:val="007516E5"/>
    <w:rsid w:val="00753402"/>
    <w:rsid w:val="00764507"/>
    <w:rsid w:val="00775894"/>
    <w:rsid w:val="00781477"/>
    <w:rsid w:val="00781C50"/>
    <w:rsid w:val="00782DBE"/>
    <w:rsid w:val="00783907"/>
    <w:rsid w:val="00783ACC"/>
    <w:rsid w:val="007946E2"/>
    <w:rsid w:val="00794752"/>
    <w:rsid w:val="0079580E"/>
    <w:rsid w:val="00797556"/>
    <w:rsid w:val="007A7E5C"/>
    <w:rsid w:val="007A7FE2"/>
    <w:rsid w:val="007B0839"/>
    <w:rsid w:val="007B40C5"/>
    <w:rsid w:val="007B43E9"/>
    <w:rsid w:val="007B493B"/>
    <w:rsid w:val="007B64E9"/>
    <w:rsid w:val="007C0233"/>
    <w:rsid w:val="007C4D3F"/>
    <w:rsid w:val="007D229E"/>
    <w:rsid w:val="007D2F9B"/>
    <w:rsid w:val="007E2C9A"/>
    <w:rsid w:val="007F0852"/>
    <w:rsid w:val="007F7D1F"/>
    <w:rsid w:val="00803207"/>
    <w:rsid w:val="00806534"/>
    <w:rsid w:val="00810269"/>
    <w:rsid w:val="00812A61"/>
    <w:rsid w:val="00813D02"/>
    <w:rsid w:val="00816B76"/>
    <w:rsid w:val="00823299"/>
    <w:rsid w:val="008308AC"/>
    <w:rsid w:val="00835195"/>
    <w:rsid w:val="00847145"/>
    <w:rsid w:val="00847167"/>
    <w:rsid w:val="00851DA3"/>
    <w:rsid w:val="0085416F"/>
    <w:rsid w:val="008562BE"/>
    <w:rsid w:val="00876471"/>
    <w:rsid w:val="008813CE"/>
    <w:rsid w:val="00884964"/>
    <w:rsid w:val="008950D7"/>
    <w:rsid w:val="00897231"/>
    <w:rsid w:val="008A0918"/>
    <w:rsid w:val="008A3BB2"/>
    <w:rsid w:val="008A5709"/>
    <w:rsid w:val="008B05B2"/>
    <w:rsid w:val="008B30BB"/>
    <w:rsid w:val="008B3B1B"/>
    <w:rsid w:val="008C5490"/>
    <w:rsid w:val="008C5FB9"/>
    <w:rsid w:val="008D090D"/>
    <w:rsid w:val="008D664B"/>
    <w:rsid w:val="008E01E6"/>
    <w:rsid w:val="008F083E"/>
    <w:rsid w:val="008F0C6F"/>
    <w:rsid w:val="008F2031"/>
    <w:rsid w:val="008F2AE1"/>
    <w:rsid w:val="008F49DE"/>
    <w:rsid w:val="008F4FC5"/>
    <w:rsid w:val="009029BB"/>
    <w:rsid w:val="009050FD"/>
    <w:rsid w:val="00915CE0"/>
    <w:rsid w:val="00916DE4"/>
    <w:rsid w:val="00923B78"/>
    <w:rsid w:val="00924381"/>
    <w:rsid w:val="00931BC2"/>
    <w:rsid w:val="00950190"/>
    <w:rsid w:val="00954D27"/>
    <w:rsid w:val="0096472B"/>
    <w:rsid w:val="009664E3"/>
    <w:rsid w:val="0097147F"/>
    <w:rsid w:val="009714A3"/>
    <w:rsid w:val="00974F4B"/>
    <w:rsid w:val="00975EA8"/>
    <w:rsid w:val="00981C20"/>
    <w:rsid w:val="00981E0D"/>
    <w:rsid w:val="00983688"/>
    <w:rsid w:val="00985B17"/>
    <w:rsid w:val="00987D64"/>
    <w:rsid w:val="0099572F"/>
    <w:rsid w:val="00995E4A"/>
    <w:rsid w:val="009A3F49"/>
    <w:rsid w:val="009A7685"/>
    <w:rsid w:val="009B5A29"/>
    <w:rsid w:val="009D12AB"/>
    <w:rsid w:val="009D5262"/>
    <w:rsid w:val="009D753D"/>
    <w:rsid w:val="009E33AC"/>
    <w:rsid w:val="009E7450"/>
    <w:rsid w:val="009F5306"/>
    <w:rsid w:val="009F5C28"/>
    <w:rsid w:val="00A00D92"/>
    <w:rsid w:val="00A020C4"/>
    <w:rsid w:val="00A0483B"/>
    <w:rsid w:val="00A05B2D"/>
    <w:rsid w:val="00A14E1D"/>
    <w:rsid w:val="00A25291"/>
    <w:rsid w:val="00A2596D"/>
    <w:rsid w:val="00A263E9"/>
    <w:rsid w:val="00A31D81"/>
    <w:rsid w:val="00A32F1F"/>
    <w:rsid w:val="00A32FA7"/>
    <w:rsid w:val="00A3581F"/>
    <w:rsid w:val="00A41E07"/>
    <w:rsid w:val="00A47905"/>
    <w:rsid w:val="00A557C8"/>
    <w:rsid w:val="00A64A1F"/>
    <w:rsid w:val="00A67D60"/>
    <w:rsid w:val="00A73BA4"/>
    <w:rsid w:val="00A753F3"/>
    <w:rsid w:val="00A81D4A"/>
    <w:rsid w:val="00A858AD"/>
    <w:rsid w:val="00A92FCA"/>
    <w:rsid w:val="00AA37EF"/>
    <w:rsid w:val="00AC35AC"/>
    <w:rsid w:val="00AC560E"/>
    <w:rsid w:val="00AC6666"/>
    <w:rsid w:val="00AC7D7B"/>
    <w:rsid w:val="00AD0E3B"/>
    <w:rsid w:val="00AD7B5F"/>
    <w:rsid w:val="00AE4D71"/>
    <w:rsid w:val="00AF069C"/>
    <w:rsid w:val="00AF1885"/>
    <w:rsid w:val="00AF5319"/>
    <w:rsid w:val="00B07388"/>
    <w:rsid w:val="00B15CED"/>
    <w:rsid w:val="00B1669B"/>
    <w:rsid w:val="00B16F4A"/>
    <w:rsid w:val="00B171BD"/>
    <w:rsid w:val="00B17617"/>
    <w:rsid w:val="00B2248D"/>
    <w:rsid w:val="00B248EE"/>
    <w:rsid w:val="00B25549"/>
    <w:rsid w:val="00B26C88"/>
    <w:rsid w:val="00B35155"/>
    <w:rsid w:val="00B3610C"/>
    <w:rsid w:val="00B369B8"/>
    <w:rsid w:val="00B40617"/>
    <w:rsid w:val="00B4464F"/>
    <w:rsid w:val="00B45BC5"/>
    <w:rsid w:val="00B470B8"/>
    <w:rsid w:val="00B52C7C"/>
    <w:rsid w:val="00B5575E"/>
    <w:rsid w:val="00B74308"/>
    <w:rsid w:val="00B77346"/>
    <w:rsid w:val="00B93A44"/>
    <w:rsid w:val="00B94B4D"/>
    <w:rsid w:val="00BA07F2"/>
    <w:rsid w:val="00BA0B41"/>
    <w:rsid w:val="00BA3898"/>
    <w:rsid w:val="00BA4FED"/>
    <w:rsid w:val="00BB4A1E"/>
    <w:rsid w:val="00BB50F8"/>
    <w:rsid w:val="00BB7842"/>
    <w:rsid w:val="00BD3B13"/>
    <w:rsid w:val="00BD3D57"/>
    <w:rsid w:val="00BD4103"/>
    <w:rsid w:val="00BD5138"/>
    <w:rsid w:val="00BD74E5"/>
    <w:rsid w:val="00BE1E36"/>
    <w:rsid w:val="00BE3B50"/>
    <w:rsid w:val="00BF052F"/>
    <w:rsid w:val="00BF27C0"/>
    <w:rsid w:val="00BF3653"/>
    <w:rsid w:val="00BF6B9B"/>
    <w:rsid w:val="00BF6E6B"/>
    <w:rsid w:val="00C051DD"/>
    <w:rsid w:val="00C063A6"/>
    <w:rsid w:val="00C06C22"/>
    <w:rsid w:val="00C120D9"/>
    <w:rsid w:val="00C127E9"/>
    <w:rsid w:val="00C17946"/>
    <w:rsid w:val="00C20A34"/>
    <w:rsid w:val="00C21E33"/>
    <w:rsid w:val="00C2497C"/>
    <w:rsid w:val="00C25573"/>
    <w:rsid w:val="00C25886"/>
    <w:rsid w:val="00C27410"/>
    <w:rsid w:val="00C34C0C"/>
    <w:rsid w:val="00C45642"/>
    <w:rsid w:val="00C50046"/>
    <w:rsid w:val="00C57473"/>
    <w:rsid w:val="00C61C4D"/>
    <w:rsid w:val="00C719EC"/>
    <w:rsid w:val="00C72229"/>
    <w:rsid w:val="00C750B3"/>
    <w:rsid w:val="00C75AB6"/>
    <w:rsid w:val="00C75CC7"/>
    <w:rsid w:val="00C813F6"/>
    <w:rsid w:val="00C92C05"/>
    <w:rsid w:val="00C94371"/>
    <w:rsid w:val="00C95D47"/>
    <w:rsid w:val="00CA0B23"/>
    <w:rsid w:val="00CA15BF"/>
    <w:rsid w:val="00CA371B"/>
    <w:rsid w:val="00CA7FCF"/>
    <w:rsid w:val="00CB2A2A"/>
    <w:rsid w:val="00CB2CE5"/>
    <w:rsid w:val="00CB4B27"/>
    <w:rsid w:val="00CB6CDC"/>
    <w:rsid w:val="00CD0209"/>
    <w:rsid w:val="00CD1438"/>
    <w:rsid w:val="00CD7153"/>
    <w:rsid w:val="00CE0885"/>
    <w:rsid w:val="00CE4295"/>
    <w:rsid w:val="00CF410F"/>
    <w:rsid w:val="00CF74D4"/>
    <w:rsid w:val="00CF7B79"/>
    <w:rsid w:val="00D001A4"/>
    <w:rsid w:val="00D00758"/>
    <w:rsid w:val="00D039C5"/>
    <w:rsid w:val="00D06400"/>
    <w:rsid w:val="00D100AF"/>
    <w:rsid w:val="00D106EE"/>
    <w:rsid w:val="00D12E50"/>
    <w:rsid w:val="00D33E1A"/>
    <w:rsid w:val="00D33EB9"/>
    <w:rsid w:val="00D35E05"/>
    <w:rsid w:val="00D40331"/>
    <w:rsid w:val="00D43873"/>
    <w:rsid w:val="00D456BD"/>
    <w:rsid w:val="00D46901"/>
    <w:rsid w:val="00D46E80"/>
    <w:rsid w:val="00D567DA"/>
    <w:rsid w:val="00D60167"/>
    <w:rsid w:val="00D60884"/>
    <w:rsid w:val="00D6169E"/>
    <w:rsid w:val="00D630D0"/>
    <w:rsid w:val="00D65FF8"/>
    <w:rsid w:val="00D66AD3"/>
    <w:rsid w:val="00D77FD8"/>
    <w:rsid w:val="00D82BFD"/>
    <w:rsid w:val="00D952EC"/>
    <w:rsid w:val="00DA6D77"/>
    <w:rsid w:val="00DB0069"/>
    <w:rsid w:val="00DB1661"/>
    <w:rsid w:val="00DB23EC"/>
    <w:rsid w:val="00DB554B"/>
    <w:rsid w:val="00DB6FDA"/>
    <w:rsid w:val="00DB74B2"/>
    <w:rsid w:val="00DC047B"/>
    <w:rsid w:val="00DC2015"/>
    <w:rsid w:val="00DC27B3"/>
    <w:rsid w:val="00DC5B00"/>
    <w:rsid w:val="00DD0242"/>
    <w:rsid w:val="00DD31CE"/>
    <w:rsid w:val="00DD43E9"/>
    <w:rsid w:val="00DE0A7E"/>
    <w:rsid w:val="00DE4EE0"/>
    <w:rsid w:val="00DE6277"/>
    <w:rsid w:val="00E0056A"/>
    <w:rsid w:val="00E009D6"/>
    <w:rsid w:val="00E04445"/>
    <w:rsid w:val="00E05C38"/>
    <w:rsid w:val="00E07C1C"/>
    <w:rsid w:val="00E11D62"/>
    <w:rsid w:val="00E20AD8"/>
    <w:rsid w:val="00E40E57"/>
    <w:rsid w:val="00E41F54"/>
    <w:rsid w:val="00E46050"/>
    <w:rsid w:val="00E506D3"/>
    <w:rsid w:val="00E60319"/>
    <w:rsid w:val="00E612D1"/>
    <w:rsid w:val="00E75880"/>
    <w:rsid w:val="00E82C90"/>
    <w:rsid w:val="00E849AA"/>
    <w:rsid w:val="00E85DBC"/>
    <w:rsid w:val="00E864A0"/>
    <w:rsid w:val="00E90300"/>
    <w:rsid w:val="00E90C39"/>
    <w:rsid w:val="00E91614"/>
    <w:rsid w:val="00EA54F0"/>
    <w:rsid w:val="00EA6BAB"/>
    <w:rsid w:val="00EB22C9"/>
    <w:rsid w:val="00EB579D"/>
    <w:rsid w:val="00EB651D"/>
    <w:rsid w:val="00EC096C"/>
    <w:rsid w:val="00ED3652"/>
    <w:rsid w:val="00ED3E02"/>
    <w:rsid w:val="00ED51FE"/>
    <w:rsid w:val="00ED52F8"/>
    <w:rsid w:val="00ED6DCC"/>
    <w:rsid w:val="00EE3289"/>
    <w:rsid w:val="00EE32BA"/>
    <w:rsid w:val="00EE359D"/>
    <w:rsid w:val="00EE558C"/>
    <w:rsid w:val="00EF06B9"/>
    <w:rsid w:val="00EF07EC"/>
    <w:rsid w:val="00EF1376"/>
    <w:rsid w:val="00EF661C"/>
    <w:rsid w:val="00F0138A"/>
    <w:rsid w:val="00F015FF"/>
    <w:rsid w:val="00F01C87"/>
    <w:rsid w:val="00F02267"/>
    <w:rsid w:val="00F06B38"/>
    <w:rsid w:val="00F06BFE"/>
    <w:rsid w:val="00F112DD"/>
    <w:rsid w:val="00F123DB"/>
    <w:rsid w:val="00F124BC"/>
    <w:rsid w:val="00F126F1"/>
    <w:rsid w:val="00F16487"/>
    <w:rsid w:val="00F167BA"/>
    <w:rsid w:val="00F1767A"/>
    <w:rsid w:val="00F24497"/>
    <w:rsid w:val="00F33E72"/>
    <w:rsid w:val="00F422C6"/>
    <w:rsid w:val="00F46665"/>
    <w:rsid w:val="00F523CC"/>
    <w:rsid w:val="00F52F0D"/>
    <w:rsid w:val="00F54102"/>
    <w:rsid w:val="00F624F8"/>
    <w:rsid w:val="00F717B1"/>
    <w:rsid w:val="00F7415F"/>
    <w:rsid w:val="00F744AF"/>
    <w:rsid w:val="00F8042F"/>
    <w:rsid w:val="00F80AED"/>
    <w:rsid w:val="00F81006"/>
    <w:rsid w:val="00F83CCB"/>
    <w:rsid w:val="00F83E4D"/>
    <w:rsid w:val="00F9479F"/>
    <w:rsid w:val="00F962F9"/>
    <w:rsid w:val="00F9639F"/>
    <w:rsid w:val="00FA077E"/>
    <w:rsid w:val="00FA7D40"/>
    <w:rsid w:val="00FB10A7"/>
    <w:rsid w:val="00FB3AEA"/>
    <w:rsid w:val="00FC3EC5"/>
    <w:rsid w:val="00FC4B34"/>
    <w:rsid w:val="00FC593A"/>
    <w:rsid w:val="00FC7893"/>
    <w:rsid w:val="00FC7B2E"/>
    <w:rsid w:val="00FD56A6"/>
    <w:rsid w:val="00FD68EA"/>
    <w:rsid w:val="00FE0050"/>
    <w:rsid w:val="00FE2B97"/>
    <w:rsid w:val="00FE3CDF"/>
    <w:rsid w:val="00FE4F55"/>
    <w:rsid w:val="00FE637B"/>
    <w:rsid w:val="00FF0848"/>
    <w:rsid w:val="00FF182D"/>
    <w:rsid w:val="00FF3D5C"/>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57DB98B-484E-41FE-ABBF-9FC7314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95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B6CDC"/>
    <w:rPr>
      <w:color w:val="808080"/>
    </w:rPr>
  </w:style>
  <w:style w:type="paragraph" w:styleId="a4">
    <w:name w:val="List Paragraph"/>
    <w:basedOn w:val="a"/>
    <w:uiPriority w:val="34"/>
    <w:qFormat/>
    <w:rsid w:val="006C75C3"/>
    <w:pPr>
      <w:ind w:left="720"/>
      <w:contextualSpacing/>
    </w:pPr>
  </w:style>
  <w:style w:type="paragraph" w:customStyle="1" w:styleId="Default">
    <w:name w:val="Default"/>
    <w:rsid w:val="006C75C3"/>
    <w:pPr>
      <w:autoSpaceDE w:val="0"/>
      <w:autoSpaceDN w:val="0"/>
      <w:adjustRightInd w:val="0"/>
      <w:spacing w:after="0" w:line="240" w:lineRule="auto"/>
    </w:pPr>
    <w:rPr>
      <w:rFonts w:ascii="Tahoma" w:hAnsi="Tahoma" w:cs="Tahoma"/>
      <w:color w:val="000000"/>
      <w:sz w:val="24"/>
      <w:szCs w:val="24"/>
    </w:rPr>
  </w:style>
  <w:style w:type="character" w:styleId="a5">
    <w:name w:val="annotation reference"/>
    <w:basedOn w:val="a0"/>
    <w:unhideWhenUsed/>
    <w:rsid w:val="00D33EB9"/>
    <w:rPr>
      <w:sz w:val="16"/>
      <w:szCs w:val="16"/>
    </w:rPr>
  </w:style>
  <w:style w:type="paragraph" w:styleId="a6">
    <w:name w:val="annotation text"/>
    <w:basedOn w:val="a"/>
    <w:link w:val="a7"/>
    <w:unhideWhenUsed/>
    <w:rsid w:val="00D33EB9"/>
    <w:pPr>
      <w:spacing w:line="240" w:lineRule="auto"/>
    </w:pPr>
    <w:rPr>
      <w:sz w:val="20"/>
      <w:szCs w:val="20"/>
    </w:rPr>
  </w:style>
  <w:style w:type="character" w:customStyle="1" w:styleId="a7">
    <w:name w:val="Текст примечания Знак"/>
    <w:basedOn w:val="a0"/>
    <w:link w:val="a6"/>
    <w:rsid w:val="00D33EB9"/>
    <w:rPr>
      <w:rFonts w:ascii="Calibri" w:eastAsia="Calibri" w:hAnsi="Calibri" w:cs="Times New Roman"/>
      <w:sz w:val="20"/>
      <w:szCs w:val="20"/>
    </w:rPr>
  </w:style>
  <w:style w:type="paragraph" w:styleId="a8">
    <w:name w:val="annotation subject"/>
    <w:basedOn w:val="a6"/>
    <w:next w:val="a6"/>
    <w:link w:val="a9"/>
    <w:uiPriority w:val="99"/>
    <w:semiHidden/>
    <w:unhideWhenUsed/>
    <w:rsid w:val="00D33EB9"/>
    <w:rPr>
      <w:b/>
      <w:bCs/>
    </w:rPr>
  </w:style>
  <w:style w:type="character" w:customStyle="1" w:styleId="a9">
    <w:name w:val="Тема примечания Знак"/>
    <w:basedOn w:val="a7"/>
    <w:link w:val="a8"/>
    <w:uiPriority w:val="99"/>
    <w:semiHidden/>
    <w:rsid w:val="00D33EB9"/>
    <w:rPr>
      <w:rFonts w:ascii="Calibri" w:eastAsia="Calibri" w:hAnsi="Calibri" w:cs="Times New Roman"/>
      <w:b/>
      <w:bCs/>
      <w:sz w:val="20"/>
      <w:szCs w:val="20"/>
    </w:rPr>
  </w:style>
  <w:style w:type="paragraph" w:styleId="aa">
    <w:name w:val="Balloon Text"/>
    <w:basedOn w:val="a"/>
    <w:link w:val="ab"/>
    <w:uiPriority w:val="99"/>
    <w:semiHidden/>
    <w:unhideWhenUsed/>
    <w:rsid w:val="00D33EB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3EB9"/>
    <w:rPr>
      <w:rFonts w:ascii="Segoe UI" w:eastAsia="Calibri" w:hAnsi="Segoe UI" w:cs="Segoe UI"/>
      <w:sz w:val="18"/>
      <w:szCs w:val="18"/>
    </w:rPr>
  </w:style>
  <w:style w:type="paragraph" w:styleId="ac">
    <w:name w:val="header"/>
    <w:basedOn w:val="a"/>
    <w:link w:val="ad"/>
    <w:uiPriority w:val="99"/>
    <w:unhideWhenUsed/>
    <w:rsid w:val="00BA38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A3898"/>
    <w:rPr>
      <w:rFonts w:ascii="Calibri" w:eastAsia="Calibri" w:hAnsi="Calibri" w:cs="Times New Roman"/>
    </w:rPr>
  </w:style>
  <w:style w:type="paragraph" w:styleId="ae">
    <w:name w:val="footer"/>
    <w:basedOn w:val="a"/>
    <w:link w:val="af"/>
    <w:uiPriority w:val="99"/>
    <w:unhideWhenUsed/>
    <w:rsid w:val="00BA389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A3898"/>
    <w:rPr>
      <w:rFonts w:ascii="Calibri" w:eastAsia="Calibri" w:hAnsi="Calibri" w:cs="Times New Roman"/>
    </w:rPr>
  </w:style>
  <w:style w:type="paragraph" w:styleId="af0">
    <w:name w:val="footnote text"/>
    <w:basedOn w:val="a"/>
    <w:link w:val="af1"/>
    <w:uiPriority w:val="99"/>
    <w:semiHidden/>
    <w:unhideWhenUsed/>
    <w:rsid w:val="00C051DD"/>
    <w:pPr>
      <w:spacing w:after="0" w:line="240" w:lineRule="auto"/>
    </w:pPr>
    <w:rPr>
      <w:sz w:val="20"/>
      <w:szCs w:val="20"/>
    </w:rPr>
  </w:style>
  <w:style w:type="character" w:customStyle="1" w:styleId="af1">
    <w:name w:val="Текст сноски Знак"/>
    <w:basedOn w:val="a0"/>
    <w:link w:val="af0"/>
    <w:uiPriority w:val="99"/>
    <w:semiHidden/>
    <w:rsid w:val="00C051DD"/>
    <w:rPr>
      <w:rFonts w:ascii="Calibri" w:eastAsia="Calibri" w:hAnsi="Calibri" w:cs="Times New Roman"/>
      <w:sz w:val="20"/>
      <w:szCs w:val="20"/>
    </w:rPr>
  </w:style>
  <w:style w:type="character" w:styleId="af2">
    <w:name w:val="footnote reference"/>
    <w:basedOn w:val="a0"/>
    <w:uiPriority w:val="99"/>
    <w:semiHidden/>
    <w:unhideWhenUsed/>
    <w:rsid w:val="00C051DD"/>
    <w:rPr>
      <w:vertAlign w:val="superscript"/>
    </w:rPr>
  </w:style>
  <w:style w:type="paragraph" w:styleId="af3">
    <w:name w:val="endnote text"/>
    <w:basedOn w:val="a"/>
    <w:link w:val="af4"/>
    <w:uiPriority w:val="99"/>
    <w:semiHidden/>
    <w:unhideWhenUsed/>
    <w:rsid w:val="00C051DD"/>
    <w:pPr>
      <w:spacing w:after="0" w:line="240" w:lineRule="auto"/>
    </w:pPr>
    <w:rPr>
      <w:sz w:val="20"/>
      <w:szCs w:val="20"/>
    </w:rPr>
  </w:style>
  <w:style w:type="character" w:customStyle="1" w:styleId="af4">
    <w:name w:val="Текст концевой сноски Знак"/>
    <w:basedOn w:val="a0"/>
    <w:link w:val="af3"/>
    <w:uiPriority w:val="99"/>
    <w:semiHidden/>
    <w:rsid w:val="00C051DD"/>
    <w:rPr>
      <w:rFonts w:ascii="Calibri" w:eastAsia="Calibri" w:hAnsi="Calibri" w:cs="Times New Roman"/>
      <w:sz w:val="20"/>
      <w:szCs w:val="20"/>
    </w:rPr>
  </w:style>
  <w:style w:type="character" w:styleId="af5">
    <w:name w:val="endnote reference"/>
    <w:basedOn w:val="a0"/>
    <w:uiPriority w:val="99"/>
    <w:semiHidden/>
    <w:unhideWhenUsed/>
    <w:rsid w:val="00C051DD"/>
    <w:rPr>
      <w:vertAlign w:val="superscript"/>
    </w:rPr>
  </w:style>
  <w:style w:type="table" w:styleId="af6">
    <w:name w:val="Table Grid"/>
    <w:basedOn w:val="a1"/>
    <w:uiPriority w:val="39"/>
    <w:rsid w:val="0024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E09CC"/>
    <w:pPr>
      <w:spacing w:after="0" w:line="240" w:lineRule="auto"/>
    </w:pPr>
    <w:rPr>
      <w:rFonts w:ascii="Calibri" w:eastAsia="Calibri" w:hAnsi="Calibri" w:cs="Times New Roman"/>
    </w:rPr>
  </w:style>
  <w:style w:type="character" w:styleId="af8">
    <w:name w:val="Hyperlink"/>
    <w:basedOn w:val="a0"/>
    <w:uiPriority w:val="99"/>
    <w:unhideWhenUsed/>
    <w:rsid w:val="00BF6B9B"/>
    <w:rPr>
      <w:color w:val="0563C1" w:themeColor="hyperlink"/>
      <w:u w:val="single"/>
    </w:rPr>
  </w:style>
  <w:style w:type="character" w:styleId="af9">
    <w:name w:val="FollowedHyperlink"/>
    <w:basedOn w:val="a0"/>
    <w:uiPriority w:val="99"/>
    <w:semiHidden/>
    <w:unhideWhenUsed/>
    <w:rsid w:val="000C74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41646">
      <w:bodyDiv w:val="1"/>
      <w:marLeft w:val="0"/>
      <w:marRight w:val="0"/>
      <w:marTop w:val="0"/>
      <w:marBottom w:val="0"/>
      <w:divBdr>
        <w:top w:val="none" w:sz="0" w:space="0" w:color="auto"/>
        <w:left w:val="none" w:sz="0" w:space="0" w:color="auto"/>
        <w:bottom w:val="none" w:sz="0" w:space="0" w:color="auto"/>
        <w:right w:val="none" w:sz="0" w:space="0" w:color="auto"/>
      </w:divBdr>
    </w:div>
    <w:div w:id="1277713342">
      <w:bodyDiv w:val="1"/>
      <w:marLeft w:val="0"/>
      <w:marRight w:val="0"/>
      <w:marTop w:val="0"/>
      <w:marBottom w:val="0"/>
      <w:divBdr>
        <w:top w:val="none" w:sz="0" w:space="0" w:color="auto"/>
        <w:left w:val="none" w:sz="0" w:space="0" w:color="auto"/>
        <w:bottom w:val="none" w:sz="0" w:space="0" w:color="auto"/>
        <w:right w:val="none" w:sz="0" w:space="0" w:color="auto"/>
      </w:divBdr>
    </w:div>
    <w:div w:id="1603996534">
      <w:bodyDiv w:val="1"/>
      <w:marLeft w:val="0"/>
      <w:marRight w:val="0"/>
      <w:marTop w:val="0"/>
      <w:marBottom w:val="0"/>
      <w:divBdr>
        <w:top w:val="none" w:sz="0" w:space="0" w:color="auto"/>
        <w:left w:val="none" w:sz="0" w:space="0" w:color="auto"/>
        <w:bottom w:val="none" w:sz="0" w:space="0" w:color="auto"/>
        <w:right w:val="none" w:sz="0" w:space="0" w:color="auto"/>
      </w:divBdr>
    </w:div>
    <w:div w:id="1975864646">
      <w:bodyDiv w:val="1"/>
      <w:marLeft w:val="0"/>
      <w:marRight w:val="0"/>
      <w:marTop w:val="0"/>
      <w:marBottom w:val="0"/>
      <w:divBdr>
        <w:top w:val="none" w:sz="0" w:space="0" w:color="auto"/>
        <w:left w:val="none" w:sz="0" w:space="0" w:color="auto"/>
        <w:bottom w:val="none" w:sz="0" w:space="0" w:color="auto"/>
        <w:right w:val="none" w:sz="0" w:space="0" w:color="auto"/>
      </w:divBdr>
    </w:div>
    <w:div w:id="20170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cowpartn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3B2530101E4A7AAD2772BD174A6A35"/>
        <w:category>
          <w:name w:val="Общие"/>
          <w:gallery w:val="placeholder"/>
        </w:category>
        <w:types>
          <w:type w:val="bbPlcHdr"/>
        </w:types>
        <w:behaviors>
          <w:behavior w:val="content"/>
        </w:behaviors>
        <w:guid w:val="{ED645B64-352E-4F1B-B9BE-F6095018B864}"/>
      </w:docPartPr>
      <w:docPartBody>
        <w:p w:rsidR="00121F94" w:rsidRDefault="00B72166" w:rsidP="00B72166">
          <w:pPr>
            <w:pStyle w:val="583B2530101E4A7AAD2772BD174A6A35"/>
          </w:pPr>
          <w:r w:rsidRPr="00CD2459">
            <w:rPr>
              <w:rStyle w:val="a3"/>
            </w:rPr>
            <w:t>Выберите элемент.</w:t>
          </w:r>
        </w:p>
      </w:docPartBody>
    </w:docPart>
    <w:docPart>
      <w:docPartPr>
        <w:name w:val="1FC987150BD84CD2AC8161F3D3AEF116"/>
        <w:category>
          <w:name w:val="Общие"/>
          <w:gallery w:val="placeholder"/>
        </w:category>
        <w:types>
          <w:type w:val="bbPlcHdr"/>
        </w:types>
        <w:behaviors>
          <w:behavior w:val="content"/>
        </w:behaviors>
        <w:guid w:val="{A702BC5D-DFB4-4DD9-A6BD-CAE54908ED09}"/>
      </w:docPartPr>
      <w:docPartBody>
        <w:p w:rsidR="00121F94" w:rsidRDefault="00B72166" w:rsidP="00B72166">
          <w:pPr>
            <w:pStyle w:val="1FC987150BD84CD2AC8161F3D3AEF116"/>
          </w:pPr>
          <w:r w:rsidRPr="00CD2459">
            <w:rPr>
              <w:rStyle w:val="a3"/>
            </w:rPr>
            <w:t>Выберите элемент.</w:t>
          </w:r>
        </w:p>
      </w:docPartBody>
    </w:docPart>
    <w:docPart>
      <w:docPartPr>
        <w:name w:val="AE78B25BC5F84B569E9A50794780A991"/>
        <w:category>
          <w:name w:val="Общие"/>
          <w:gallery w:val="placeholder"/>
        </w:category>
        <w:types>
          <w:type w:val="bbPlcHdr"/>
        </w:types>
        <w:behaviors>
          <w:behavior w:val="content"/>
        </w:behaviors>
        <w:guid w:val="{27D7E35F-DFC6-4D73-B8B9-C8802C930F1C}"/>
      </w:docPartPr>
      <w:docPartBody>
        <w:p w:rsidR="00121F94" w:rsidRDefault="00B72166" w:rsidP="00B72166">
          <w:pPr>
            <w:pStyle w:val="AE78B25BC5F84B569E9A50794780A991"/>
          </w:pPr>
          <w:r w:rsidRPr="00CD2459">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66"/>
    <w:rsid w:val="00121F94"/>
    <w:rsid w:val="00B72166"/>
    <w:rsid w:val="00E5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5767A"/>
    <w:rPr>
      <w:color w:val="808080"/>
    </w:rPr>
  </w:style>
  <w:style w:type="paragraph" w:customStyle="1" w:styleId="C174119B0948406C908FCEC990F62DD1">
    <w:name w:val="C174119B0948406C908FCEC990F62DD1"/>
    <w:rsid w:val="00B72166"/>
  </w:style>
  <w:style w:type="paragraph" w:customStyle="1" w:styleId="9752CC652D1C46D2A2DA3C1899759150">
    <w:name w:val="9752CC652D1C46D2A2DA3C1899759150"/>
    <w:rsid w:val="00B72166"/>
  </w:style>
  <w:style w:type="paragraph" w:customStyle="1" w:styleId="3C345D24D60F44BBA1973E68E0B511F1">
    <w:name w:val="3C345D24D60F44BBA1973E68E0B511F1"/>
    <w:rsid w:val="00B72166"/>
  </w:style>
  <w:style w:type="paragraph" w:customStyle="1" w:styleId="583B2530101E4A7AAD2772BD174A6A35">
    <w:name w:val="583B2530101E4A7AAD2772BD174A6A35"/>
    <w:rsid w:val="00B72166"/>
  </w:style>
  <w:style w:type="paragraph" w:customStyle="1" w:styleId="1FC987150BD84CD2AC8161F3D3AEF116">
    <w:name w:val="1FC987150BD84CD2AC8161F3D3AEF116"/>
    <w:rsid w:val="00B72166"/>
  </w:style>
  <w:style w:type="paragraph" w:customStyle="1" w:styleId="AE78B25BC5F84B569E9A50794780A991">
    <w:name w:val="AE78B25BC5F84B569E9A50794780A991"/>
    <w:rsid w:val="00B72166"/>
  </w:style>
  <w:style w:type="paragraph" w:customStyle="1" w:styleId="38FEDF560BEA4A7F9B95968C4580B93D">
    <w:name w:val="38FEDF560BEA4A7F9B95968C4580B93D"/>
    <w:rsid w:val="00E5767A"/>
  </w:style>
  <w:style w:type="paragraph" w:customStyle="1" w:styleId="67119F4130AB4554A6CC0B15DBCF9629">
    <w:name w:val="67119F4130AB4554A6CC0B15DBCF9629"/>
    <w:rsid w:val="00E5767A"/>
  </w:style>
  <w:style w:type="paragraph" w:customStyle="1" w:styleId="0D8F0C54717A4FE5A8A42309AC1191A6">
    <w:name w:val="0D8F0C54717A4FE5A8A42309AC1191A6"/>
    <w:rsid w:val="00E57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8BFC-BA22-4027-ABD9-6C72F0D2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12351</Words>
  <Characters>70405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VELES</Company>
  <LinksUpToDate>false</LinksUpToDate>
  <CharactersWithSpaces>82591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Шабунина Ольга Александровна</dc:creator>
  <cp:keywords/>
  <dc:description/>
  <cp:lastModifiedBy>a.shirokov</cp:lastModifiedBy>
  <cp:revision>2</cp:revision>
  <cp:lastPrinted>2014-11-14T11:53:00Z</cp:lastPrinted>
  <dcterms:created xsi:type="dcterms:W3CDTF">2023-07-05T17:18:00Z</dcterms:created>
  <dcterms:modified xsi:type="dcterms:W3CDTF">2023-07-05T17:18:00Z</dcterms:modified>
</cp:coreProperties>
</file>